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94" w:rsidRDefault="002F2094" w:rsidP="002F2094">
      <w:pPr>
        <w:jc w:val="center"/>
        <w:rPr>
          <w:rFonts w:cstheme="minorHAnsi"/>
          <w:b/>
          <w:sz w:val="24"/>
          <w:szCs w:val="24"/>
        </w:rPr>
      </w:pPr>
      <w:bookmarkStart w:id="0" w:name="_Hlk118892226"/>
      <w:bookmarkEnd w:id="0"/>
      <w:r w:rsidRPr="000220C2">
        <w:rPr>
          <w:rFonts w:cstheme="minorHAnsi"/>
          <w:b/>
          <w:sz w:val="24"/>
          <w:szCs w:val="24"/>
        </w:rPr>
        <w:t xml:space="preserve">OBRAZLOŽENJE </w:t>
      </w:r>
      <w:r w:rsidR="00EF58A5">
        <w:rPr>
          <w:rFonts w:cstheme="minorHAnsi"/>
          <w:b/>
          <w:sz w:val="24"/>
          <w:szCs w:val="24"/>
        </w:rPr>
        <w:t>UZ FINANCIJSKI PLAN ZA 2025</w:t>
      </w:r>
      <w:r w:rsidR="000C42D4" w:rsidRPr="000220C2">
        <w:rPr>
          <w:rFonts w:cstheme="minorHAnsi"/>
          <w:b/>
          <w:sz w:val="24"/>
          <w:szCs w:val="24"/>
        </w:rPr>
        <w:t>. GODINU</w:t>
      </w:r>
      <w:r w:rsidR="00EF58A5">
        <w:rPr>
          <w:rFonts w:cstheme="minorHAnsi"/>
          <w:b/>
          <w:sz w:val="24"/>
          <w:szCs w:val="24"/>
        </w:rPr>
        <w:t xml:space="preserve"> </w:t>
      </w:r>
      <w:r w:rsidR="007756BF">
        <w:rPr>
          <w:rFonts w:cstheme="minorHAnsi"/>
          <w:b/>
          <w:sz w:val="24"/>
          <w:szCs w:val="24"/>
        </w:rPr>
        <w:t>TE</w:t>
      </w:r>
      <w:r w:rsidR="00EF58A5">
        <w:rPr>
          <w:rFonts w:cstheme="minorHAnsi"/>
          <w:b/>
          <w:sz w:val="24"/>
          <w:szCs w:val="24"/>
        </w:rPr>
        <w:t xml:space="preserve"> PROJEKCIJE ZA 2026. </w:t>
      </w:r>
      <w:r w:rsidR="007756BF">
        <w:rPr>
          <w:rFonts w:cstheme="minorHAnsi"/>
          <w:b/>
          <w:sz w:val="24"/>
          <w:szCs w:val="24"/>
        </w:rPr>
        <w:t xml:space="preserve">I </w:t>
      </w:r>
      <w:r w:rsidR="00EF58A5">
        <w:rPr>
          <w:rFonts w:cstheme="minorHAnsi"/>
          <w:b/>
          <w:sz w:val="24"/>
          <w:szCs w:val="24"/>
        </w:rPr>
        <w:t>2027.GODINU</w:t>
      </w:r>
      <w:r w:rsidR="000C42D4" w:rsidRPr="000220C2">
        <w:rPr>
          <w:rFonts w:cstheme="minorHAnsi"/>
          <w:b/>
          <w:sz w:val="24"/>
          <w:szCs w:val="24"/>
        </w:rPr>
        <w:t xml:space="preserve"> </w:t>
      </w:r>
      <w:r w:rsidR="00EF58A5">
        <w:rPr>
          <w:rFonts w:cstheme="minorHAnsi"/>
          <w:b/>
          <w:sz w:val="24"/>
          <w:szCs w:val="24"/>
        </w:rPr>
        <w:t xml:space="preserve"> ZA </w:t>
      </w:r>
      <w:r w:rsidRPr="000220C2">
        <w:rPr>
          <w:rFonts w:cstheme="minorHAnsi"/>
          <w:b/>
          <w:sz w:val="24"/>
          <w:szCs w:val="24"/>
        </w:rPr>
        <w:t>OSNOVN</w:t>
      </w:r>
      <w:r w:rsidR="00EF58A5">
        <w:rPr>
          <w:rFonts w:cstheme="minorHAnsi"/>
          <w:b/>
          <w:sz w:val="24"/>
          <w:szCs w:val="24"/>
        </w:rPr>
        <w:t>U</w:t>
      </w:r>
      <w:r w:rsidRPr="000220C2">
        <w:rPr>
          <w:rFonts w:cstheme="minorHAnsi"/>
          <w:b/>
          <w:sz w:val="24"/>
          <w:szCs w:val="24"/>
        </w:rPr>
        <w:t xml:space="preserve"> ŠKOL</w:t>
      </w:r>
      <w:r w:rsidR="00EF58A5">
        <w:rPr>
          <w:rFonts w:cstheme="minorHAnsi"/>
          <w:b/>
          <w:sz w:val="24"/>
          <w:szCs w:val="24"/>
        </w:rPr>
        <w:t>U</w:t>
      </w:r>
      <w:r w:rsidRPr="000220C2">
        <w:rPr>
          <w:rFonts w:cstheme="minorHAnsi"/>
          <w:b/>
          <w:sz w:val="24"/>
          <w:szCs w:val="24"/>
        </w:rPr>
        <w:t xml:space="preserve"> KURŠANEC</w:t>
      </w:r>
    </w:p>
    <w:p w:rsidR="002F2094" w:rsidRPr="000220C2" w:rsidRDefault="002F2094" w:rsidP="002F2094">
      <w:pPr>
        <w:jc w:val="center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(proračunski korisnik)</w:t>
      </w:r>
    </w:p>
    <w:p w:rsidR="002F2094" w:rsidRPr="000220C2" w:rsidRDefault="002F2094">
      <w:pPr>
        <w:rPr>
          <w:rFonts w:cstheme="minorHAnsi"/>
          <w:sz w:val="24"/>
          <w:szCs w:val="24"/>
        </w:rPr>
      </w:pPr>
    </w:p>
    <w:p w:rsidR="002F2094" w:rsidRPr="00EF58A5" w:rsidRDefault="00EF58A5">
      <w:pPr>
        <w:rPr>
          <w:rFonts w:cstheme="minorHAnsi"/>
          <w:b/>
          <w:sz w:val="24"/>
          <w:szCs w:val="24"/>
        </w:rPr>
      </w:pPr>
      <w:r w:rsidRPr="00EF58A5">
        <w:rPr>
          <w:rFonts w:cstheme="minorHAnsi"/>
          <w:b/>
          <w:sz w:val="24"/>
          <w:szCs w:val="24"/>
        </w:rPr>
        <w:t>UVOD</w:t>
      </w:r>
    </w:p>
    <w:p w:rsidR="002F2094" w:rsidRPr="000220C2" w:rsidRDefault="002F2094">
      <w:pPr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DJELOKRUG RADA OŠ KURŠANEC</w:t>
      </w:r>
    </w:p>
    <w:p w:rsidR="002F2094" w:rsidRPr="000220C2" w:rsidRDefault="002F2094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Osnovna škola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 javna je ustanova čija je osnovna djelatnost uređena Zakonom o odgoju i obrazovanju u osnovnoj i srednjoj školi i </w:t>
      </w:r>
      <w:r w:rsidR="002908A4" w:rsidRPr="000220C2">
        <w:rPr>
          <w:rFonts w:cstheme="minorHAnsi"/>
          <w:sz w:val="24"/>
          <w:szCs w:val="24"/>
        </w:rPr>
        <w:t>S</w:t>
      </w:r>
      <w:r w:rsidRPr="000220C2">
        <w:rPr>
          <w:rFonts w:cstheme="minorHAnsi"/>
          <w:sz w:val="24"/>
          <w:szCs w:val="24"/>
        </w:rPr>
        <w:t xml:space="preserve">tatutom Osnovne škole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, a osnivač škole je Grad Čakovec, </w:t>
      </w:r>
      <w:r w:rsidR="002908A4" w:rsidRPr="000220C2">
        <w:rPr>
          <w:rFonts w:cstheme="minorHAnsi"/>
          <w:sz w:val="24"/>
          <w:szCs w:val="24"/>
        </w:rPr>
        <w:t>Š</w:t>
      </w:r>
      <w:r w:rsidRPr="000220C2">
        <w:rPr>
          <w:rFonts w:cstheme="minorHAnsi"/>
          <w:sz w:val="24"/>
          <w:szCs w:val="24"/>
        </w:rPr>
        <w:t>kola djeluje od 1999. godine kao samostalna ustanova. U školskoj 202</w:t>
      </w:r>
      <w:r w:rsidR="00EF58A5">
        <w:rPr>
          <w:rFonts w:cstheme="minorHAnsi"/>
          <w:sz w:val="24"/>
          <w:szCs w:val="24"/>
        </w:rPr>
        <w:t>4</w:t>
      </w:r>
      <w:r w:rsidRPr="000220C2">
        <w:rPr>
          <w:rFonts w:cstheme="minorHAnsi"/>
          <w:sz w:val="24"/>
          <w:szCs w:val="24"/>
        </w:rPr>
        <w:t>./202</w:t>
      </w:r>
      <w:r w:rsidR="00EF58A5">
        <w:rPr>
          <w:rFonts w:cstheme="minorHAnsi"/>
          <w:sz w:val="24"/>
          <w:szCs w:val="24"/>
        </w:rPr>
        <w:t>5</w:t>
      </w:r>
      <w:r w:rsidRPr="000220C2">
        <w:rPr>
          <w:rFonts w:cstheme="minorHAnsi"/>
          <w:sz w:val="24"/>
          <w:szCs w:val="24"/>
        </w:rPr>
        <w:t>. godini škola broji 4</w:t>
      </w:r>
      <w:r w:rsidR="00EF58A5">
        <w:rPr>
          <w:rFonts w:cstheme="minorHAnsi"/>
          <w:sz w:val="24"/>
          <w:szCs w:val="24"/>
        </w:rPr>
        <w:t>30</w:t>
      </w:r>
      <w:r w:rsidRPr="000220C2">
        <w:rPr>
          <w:rFonts w:cstheme="minorHAnsi"/>
          <w:sz w:val="24"/>
          <w:szCs w:val="24"/>
        </w:rPr>
        <w:t xml:space="preserve"> učenika razvrstanih u 3</w:t>
      </w:r>
      <w:r w:rsidR="001A0A1F">
        <w:rPr>
          <w:rFonts w:cstheme="minorHAnsi"/>
          <w:sz w:val="24"/>
          <w:szCs w:val="24"/>
        </w:rPr>
        <w:t>3</w:t>
      </w:r>
      <w:r w:rsidRPr="000220C2">
        <w:rPr>
          <w:rFonts w:cstheme="minorHAnsi"/>
          <w:sz w:val="24"/>
          <w:szCs w:val="24"/>
        </w:rPr>
        <w:t xml:space="preserve"> razredn</w:t>
      </w:r>
      <w:r w:rsidR="001A0A1F">
        <w:rPr>
          <w:rFonts w:cstheme="minorHAnsi"/>
          <w:sz w:val="24"/>
          <w:szCs w:val="24"/>
        </w:rPr>
        <w:t xml:space="preserve">a </w:t>
      </w:r>
      <w:r w:rsidRPr="000220C2">
        <w:rPr>
          <w:rFonts w:cstheme="minorHAnsi"/>
          <w:sz w:val="24"/>
          <w:szCs w:val="24"/>
        </w:rPr>
        <w:t xml:space="preserve">odjela </w:t>
      </w:r>
      <w:r w:rsidR="001A0A1F">
        <w:rPr>
          <w:rFonts w:cstheme="minorHAnsi"/>
          <w:sz w:val="24"/>
          <w:szCs w:val="24"/>
        </w:rPr>
        <w:t>te</w:t>
      </w:r>
      <w:r w:rsidRPr="000220C2">
        <w:rPr>
          <w:rFonts w:cstheme="minorHAnsi"/>
          <w:sz w:val="24"/>
          <w:szCs w:val="24"/>
        </w:rPr>
        <w:t xml:space="preserve"> 4 posebna razredna odjela. Nastava se odvija u dvije smjene.</w:t>
      </w:r>
    </w:p>
    <w:p w:rsidR="002F2094" w:rsidRPr="000220C2" w:rsidRDefault="002F2094">
      <w:pPr>
        <w:rPr>
          <w:rFonts w:cstheme="minorHAnsi"/>
          <w:sz w:val="24"/>
          <w:szCs w:val="24"/>
        </w:rPr>
      </w:pPr>
    </w:p>
    <w:p w:rsidR="002F2094" w:rsidRPr="000220C2" w:rsidRDefault="002F2094">
      <w:pPr>
        <w:rPr>
          <w:rFonts w:cstheme="minorHAnsi"/>
          <w:i/>
          <w:sz w:val="24"/>
          <w:szCs w:val="24"/>
        </w:rPr>
      </w:pPr>
      <w:r w:rsidRPr="000220C2">
        <w:rPr>
          <w:rFonts w:cstheme="minorHAnsi"/>
          <w:i/>
          <w:sz w:val="24"/>
          <w:szCs w:val="24"/>
        </w:rPr>
        <w:t>PREGLED FINANCIJSKIH SREDSTAVA PO PROGRAMIMA</w:t>
      </w:r>
      <w:r w:rsidR="00454F24" w:rsidRPr="000220C2">
        <w:rPr>
          <w:rFonts w:cstheme="minorHAnsi"/>
          <w:i/>
          <w:sz w:val="24"/>
          <w:szCs w:val="24"/>
        </w:rPr>
        <w:t xml:space="preserve"> (u eurima)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331"/>
        <w:gridCol w:w="1651"/>
        <w:gridCol w:w="1724"/>
        <w:gridCol w:w="1678"/>
        <w:gridCol w:w="1678"/>
      </w:tblGrid>
      <w:tr w:rsidR="00EF58A5" w:rsidRPr="000220C2" w:rsidTr="00EF58A5">
        <w:trPr>
          <w:trHeight w:val="600"/>
        </w:trPr>
        <w:tc>
          <w:tcPr>
            <w:tcW w:w="2331" w:type="dxa"/>
            <w:hideMark/>
          </w:tcPr>
          <w:p w:rsidR="00EF58A5" w:rsidRPr="000220C2" w:rsidRDefault="00EF58A5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Naziv programa iz Proračuna</w:t>
            </w:r>
          </w:p>
        </w:tc>
        <w:tc>
          <w:tcPr>
            <w:tcW w:w="1651" w:type="dxa"/>
            <w:hideMark/>
          </w:tcPr>
          <w:p w:rsidR="00EF58A5" w:rsidRPr="000220C2" w:rsidRDefault="00EF58A5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roračun </w:t>
            </w:r>
            <w:r w:rsidRPr="000220C2">
              <w:rPr>
                <w:rFonts w:cstheme="minorHAnsi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4" w:type="dxa"/>
            <w:hideMark/>
          </w:tcPr>
          <w:p w:rsidR="00EF58A5" w:rsidRPr="000220C2" w:rsidRDefault="00EF58A5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2025.</w:t>
            </w:r>
          </w:p>
        </w:tc>
        <w:tc>
          <w:tcPr>
            <w:tcW w:w="1678" w:type="dxa"/>
          </w:tcPr>
          <w:p w:rsidR="00EF58A5" w:rsidRDefault="00EF58A5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Projekcija 2026</w:t>
            </w:r>
          </w:p>
        </w:tc>
        <w:tc>
          <w:tcPr>
            <w:tcW w:w="1678" w:type="dxa"/>
          </w:tcPr>
          <w:p w:rsidR="00EF58A5" w:rsidRDefault="00EF58A5" w:rsidP="009130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Projekcija 2027</w:t>
            </w:r>
          </w:p>
        </w:tc>
      </w:tr>
      <w:tr w:rsidR="00EF58A5" w:rsidRPr="000220C2" w:rsidTr="00EF58A5">
        <w:trPr>
          <w:trHeight w:val="300"/>
        </w:trPr>
        <w:tc>
          <w:tcPr>
            <w:tcW w:w="2331" w:type="dxa"/>
            <w:noWrap/>
            <w:hideMark/>
          </w:tcPr>
          <w:p w:rsidR="00EF58A5" w:rsidRPr="000220C2" w:rsidRDefault="00EF58A5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Program obrazovanja i odgoja učenika osnovnoškolske dobi</w:t>
            </w:r>
          </w:p>
        </w:tc>
        <w:tc>
          <w:tcPr>
            <w:tcW w:w="1651" w:type="dxa"/>
            <w:noWrap/>
            <w:hideMark/>
          </w:tcPr>
          <w:p w:rsidR="00EF58A5" w:rsidRPr="000220C2" w:rsidRDefault="00EF58A5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2.558.372,13</w:t>
            </w:r>
          </w:p>
        </w:tc>
        <w:tc>
          <w:tcPr>
            <w:tcW w:w="1724" w:type="dxa"/>
            <w:noWrap/>
            <w:hideMark/>
          </w:tcPr>
          <w:p w:rsidR="00EF58A5" w:rsidRPr="000220C2" w:rsidRDefault="00EF58A5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3.015.327,00</w:t>
            </w:r>
          </w:p>
        </w:tc>
        <w:tc>
          <w:tcPr>
            <w:tcW w:w="1678" w:type="dxa"/>
          </w:tcPr>
          <w:p w:rsidR="00EF58A5" w:rsidRDefault="00EF58A5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3.010.327,00</w:t>
            </w:r>
          </w:p>
        </w:tc>
        <w:tc>
          <w:tcPr>
            <w:tcW w:w="1678" w:type="dxa"/>
          </w:tcPr>
          <w:p w:rsidR="00EF58A5" w:rsidRDefault="00EF58A5" w:rsidP="00984D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2.971.427,00</w:t>
            </w:r>
          </w:p>
        </w:tc>
      </w:tr>
    </w:tbl>
    <w:p w:rsidR="002F2094" w:rsidRPr="000220C2" w:rsidRDefault="002F209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220C2" w:rsidTr="009130D9">
        <w:tc>
          <w:tcPr>
            <w:tcW w:w="9062" w:type="dxa"/>
          </w:tcPr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Opis programa:</w:t>
            </w:r>
          </w:p>
          <w:p w:rsidR="009130D9" w:rsidRPr="000220C2" w:rsidRDefault="009130D9" w:rsidP="00D4383B">
            <w:pPr>
              <w:jc w:val="both"/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 xml:space="preserve">OŠ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Kuršanec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osmišljava, organizira i provodi odgojno obrazovnu djelatnost vodeći se vizijom i misijom škole. Vizija škole je škola u kojoj djeca prema svojim sposobnostima usvajaju sadržaje koji im omogućavaju osobni rast i razvoj koji će doprinositi kvalitetnijem suživotu u društvenoj zajednici. Misija škole je podučavanje učiniti zanimljivim i djeci izazovnim.</w:t>
            </w: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F2094" w:rsidRPr="000220C2" w:rsidRDefault="002F209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D9" w:rsidRPr="000220C2" w:rsidTr="009130D9">
        <w:tc>
          <w:tcPr>
            <w:tcW w:w="9062" w:type="dxa"/>
          </w:tcPr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>Zakonske i druge pravne osnove:</w:t>
            </w: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</w:p>
          <w:p w:rsidR="009130D9" w:rsidRPr="000220C2" w:rsidRDefault="009130D9">
            <w:pPr>
              <w:rPr>
                <w:rFonts w:cstheme="minorHAnsi"/>
                <w:sz w:val="24"/>
                <w:szCs w:val="24"/>
              </w:rPr>
            </w:pPr>
            <w:r w:rsidRPr="000220C2">
              <w:rPr>
                <w:rFonts w:cstheme="minorHAnsi"/>
                <w:sz w:val="24"/>
                <w:szCs w:val="24"/>
              </w:rPr>
              <w:t xml:space="preserve">Zakon o odgoju i obrazovanju u osnovnoj i srednjoj školi, (NN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br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87/08., 86/09.,92/10., 90/11., 5/12., 16/12., 94/13., 152/14., 07/17., 68/18. 98/19.) - Zakon o ustanovama, (NN </w:t>
            </w:r>
            <w:proofErr w:type="spellStart"/>
            <w:r w:rsidRPr="000220C2">
              <w:rPr>
                <w:rFonts w:cstheme="minorHAnsi"/>
                <w:sz w:val="24"/>
                <w:szCs w:val="24"/>
              </w:rPr>
              <w:t>br</w:t>
            </w:r>
            <w:proofErr w:type="spellEnd"/>
            <w:r w:rsidRPr="000220C2">
              <w:rPr>
                <w:rFonts w:cstheme="minorHAnsi"/>
                <w:sz w:val="24"/>
                <w:szCs w:val="24"/>
              </w:rPr>
              <w:t xml:space="preserve"> 76/93., 29/97., 47/99. i 35/08.) - Zakon o proračunu, (NN 87/08.; 136/12., 15/15.</w:t>
            </w:r>
            <w:r w:rsidR="00454F24" w:rsidRPr="000220C2">
              <w:rPr>
                <w:rFonts w:cstheme="minorHAnsi"/>
                <w:sz w:val="24"/>
                <w:szCs w:val="24"/>
              </w:rPr>
              <w:t>, 144/21</w:t>
            </w:r>
            <w:r w:rsidRPr="000220C2">
              <w:rPr>
                <w:rFonts w:cstheme="minorHAnsi"/>
                <w:sz w:val="24"/>
                <w:szCs w:val="24"/>
              </w:rPr>
              <w:t>) - Pravilnik o proračunskim klasifikacijama (NN br. 26/10., 120/13) - Pravilnik o proračunskom računovodstvu i računskom planu ( N.N. 124/14, 115/15., 87/16., 3/18.</w:t>
            </w:r>
            <w:r w:rsidR="00454F24" w:rsidRPr="000220C2">
              <w:rPr>
                <w:rFonts w:cstheme="minorHAnsi"/>
                <w:sz w:val="24"/>
                <w:szCs w:val="24"/>
              </w:rPr>
              <w:t>. 129/19, 108/20</w:t>
            </w:r>
            <w:r w:rsidRPr="000220C2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9130D9" w:rsidRDefault="009130D9">
      <w:pPr>
        <w:rPr>
          <w:rFonts w:cstheme="minorHAnsi"/>
          <w:sz w:val="24"/>
          <w:szCs w:val="24"/>
        </w:rPr>
      </w:pPr>
    </w:p>
    <w:p w:rsidR="00EF58A5" w:rsidRPr="000220C2" w:rsidRDefault="00EF58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Prioritet škole je odgoj i obrazovanje učenika, a ostvaruje se  na način da se zapošljava stručni kadar uz dodatna usavršavanja (seminari, edukacije, stručni skupovi itd.), uključivanjem učenika u izvannastavne i izvanškolske aktivnosti, poticanje učenika na </w:t>
      </w:r>
      <w:r>
        <w:rPr>
          <w:rFonts w:cstheme="minorHAnsi"/>
          <w:sz w:val="24"/>
          <w:szCs w:val="24"/>
        </w:rPr>
        <w:lastRenderedPageBreak/>
        <w:t xml:space="preserve">kreativnost i kvalitetan rad i pristup učenju. Poticanje učenika na sudjelovanje u školskim te </w:t>
      </w:r>
      <w:r w:rsidR="00257144">
        <w:rPr>
          <w:rFonts w:cstheme="minorHAnsi"/>
          <w:sz w:val="24"/>
          <w:szCs w:val="24"/>
        </w:rPr>
        <w:t>županijskim</w:t>
      </w:r>
      <w:r>
        <w:rPr>
          <w:rFonts w:cstheme="minorHAnsi"/>
          <w:sz w:val="24"/>
          <w:szCs w:val="24"/>
        </w:rPr>
        <w:t xml:space="preserve"> natjecanjima, sportskim manifestacijama i </w:t>
      </w:r>
      <w:r w:rsidR="00257144">
        <w:rPr>
          <w:rFonts w:cstheme="minorHAnsi"/>
          <w:sz w:val="24"/>
          <w:szCs w:val="24"/>
        </w:rPr>
        <w:t xml:space="preserve">dr. </w:t>
      </w:r>
    </w:p>
    <w:p w:rsidR="002F2094" w:rsidRPr="000220C2" w:rsidRDefault="002F2094" w:rsidP="009657F2">
      <w:pPr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756BF" w:rsidTr="007756BF">
        <w:tc>
          <w:tcPr>
            <w:tcW w:w="1812" w:type="dxa"/>
          </w:tcPr>
          <w:p w:rsidR="007756BF" w:rsidRPr="00257144" w:rsidRDefault="007756BF" w:rsidP="007756BF">
            <w:pPr>
              <w:rPr>
                <w:rFonts w:cstheme="minorHAnsi"/>
                <w:b/>
                <w:sz w:val="24"/>
                <w:szCs w:val="24"/>
              </w:rPr>
            </w:pPr>
            <w:r w:rsidRPr="000220C2">
              <w:rPr>
                <w:rFonts w:cstheme="minorHAnsi"/>
                <w:b/>
                <w:bCs/>
                <w:sz w:val="24"/>
                <w:szCs w:val="24"/>
              </w:rPr>
              <w:t>Naziv programa iz Proračuna</w:t>
            </w:r>
          </w:p>
        </w:tc>
        <w:tc>
          <w:tcPr>
            <w:tcW w:w="1812" w:type="dxa"/>
          </w:tcPr>
          <w:p w:rsidR="007756BF" w:rsidRPr="00257144" w:rsidRDefault="007756BF" w:rsidP="007756BF">
            <w:pPr>
              <w:rPr>
                <w:rFonts w:cstheme="minorHAnsi"/>
                <w:b/>
                <w:sz w:val="24"/>
                <w:szCs w:val="24"/>
              </w:rPr>
            </w:pPr>
            <w:r w:rsidRPr="00257144">
              <w:rPr>
                <w:rFonts w:cstheme="minorHAnsi"/>
                <w:b/>
                <w:sz w:val="24"/>
                <w:szCs w:val="24"/>
              </w:rPr>
              <w:t>Proračun 2024</w:t>
            </w:r>
          </w:p>
        </w:tc>
        <w:tc>
          <w:tcPr>
            <w:tcW w:w="1812" w:type="dxa"/>
          </w:tcPr>
          <w:p w:rsidR="007756BF" w:rsidRPr="000220C2" w:rsidRDefault="007756BF" w:rsidP="007756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2025.</w:t>
            </w:r>
          </w:p>
        </w:tc>
        <w:tc>
          <w:tcPr>
            <w:tcW w:w="1813" w:type="dxa"/>
          </w:tcPr>
          <w:p w:rsidR="007756BF" w:rsidRDefault="007756BF" w:rsidP="007756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Projekcija 2026</w:t>
            </w:r>
          </w:p>
        </w:tc>
        <w:tc>
          <w:tcPr>
            <w:tcW w:w="1813" w:type="dxa"/>
          </w:tcPr>
          <w:p w:rsidR="007756BF" w:rsidRDefault="007756BF" w:rsidP="007756B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Projekcija 2027</w:t>
            </w:r>
          </w:p>
        </w:tc>
      </w:tr>
      <w:tr w:rsidR="007756BF" w:rsidTr="007756BF">
        <w:tc>
          <w:tcPr>
            <w:tcW w:w="1812" w:type="dxa"/>
          </w:tcPr>
          <w:p w:rsidR="007756BF" w:rsidRDefault="007756BF" w:rsidP="00775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POMOĆNICI U NASTAVI</w:t>
            </w:r>
          </w:p>
        </w:tc>
        <w:tc>
          <w:tcPr>
            <w:tcW w:w="1812" w:type="dxa"/>
          </w:tcPr>
          <w:p w:rsidR="007756BF" w:rsidRDefault="007756BF" w:rsidP="00775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89.563,00</w:t>
            </w:r>
          </w:p>
        </w:tc>
        <w:tc>
          <w:tcPr>
            <w:tcW w:w="1812" w:type="dxa"/>
          </w:tcPr>
          <w:p w:rsidR="007756BF" w:rsidRDefault="007756BF" w:rsidP="00775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193.000,00</w:t>
            </w:r>
          </w:p>
        </w:tc>
        <w:tc>
          <w:tcPr>
            <w:tcW w:w="1813" w:type="dxa"/>
          </w:tcPr>
          <w:p w:rsidR="007756BF" w:rsidRDefault="007756BF" w:rsidP="00775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231.900,00</w:t>
            </w:r>
          </w:p>
        </w:tc>
        <w:tc>
          <w:tcPr>
            <w:tcW w:w="1813" w:type="dxa"/>
          </w:tcPr>
          <w:p w:rsidR="007756BF" w:rsidRDefault="007756BF" w:rsidP="007756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193.000,00</w:t>
            </w:r>
          </w:p>
        </w:tc>
      </w:tr>
    </w:tbl>
    <w:p w:rsidR="00257144" w:rsidRDefault="0025714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B08" w:rsidTr="00674B08">
        <w:tc>
          <w:tcPr>
            <w:tcW w:w="9062" w:type="dxa"/>
          </w:tcPr>
          <w:p w:rsidR="00674B08" w:rsidRDefault="00674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programa:</w:t>
            </w:r>
          </w:p>
          <w:p w:rsidR="00674B08" w:rsidRDefault="00674B08" w:rsidP="00674B08">
            <w:pPr>
              <w:rPr>
                <w:rFonts w:cstheme="minorHAnsi"/>
                <w:sz w:val="24"/>
                <w:szCs w:val="24"/>
              </w:rPr>
            </w:pPr>
          </w:p>
          <w:p w:rsidR="00674B08" w:rsidRDefault="00674B08" w:rsidP="00674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Pomoćnici u nastavi u OŠ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Kuršanec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pružaju podršku učenicima s teškoćama</w:t>
            </w:r>
            <w:r>
              <w:rPr>
                <w:rFonts w:cstheme="minorHAnsi"/>
                <w:sz w:val="24"/>
                <w:szCs w:val="24"/>
              </w:rPr>
              <w:t xml:space="preserve"> u razvoju</w:t>
            </w:r>
            <w:r>
              <w:rPr>
                <w:rFonts w:cstheme="minorHAnsi"/>
                <w:sz w:val="24"/>
                <w:szCs w:val="24"/>
              </w:rPr>
              <w:t xml:space="preserve"> te imaju značajnu ulogu u olakšavanju praćenja svakodnevne nastave učenika čiji su pomoćnici. </w:t>
            </w:r>
          </w:p>
          <w:p w:rsidR="00674B08" w:rsidRDefault="00674B08" w:rsidP="00674B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obzirom na sve veće potrebe za pomoćnicima u nastavi u 2025., ali i 2026. i 2027. godini povećana su planirana sredstva za osiguranje pomoćnika u nastavi</w:t>
            </w:r>
            <w:r>
              <w:rPr>
                <w:rFonts w:cstheme="minorHAnsi"/>
                <w:sz w:val="24"/>
                <w:szCs w:val="24"/>
              </w:rPr>
              <w:t xml:space="preserve"> te je planirano dodatno zapošljavanje spomenutog kadra.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74B08" w:rsidRDefault="00674B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74B08" w:rsidRDefault="00674B08">
      <w:pPr>
        <w:rPr>
          <w:rFonts w:cstheme="minorHAnsi"/>
          <w:sz w:val="24"/>
          <w:szCs w:val="24"/>
        </w:rPr>
      </w:pPr>
    </w:p>
    <w:p w:rsidR="002F2094" w:rsidRPr="0082085B" w:rsidRDefault="000B4239" w:rsidP="00D4383B">
      <w:pPr>
        <w:jc w:val="both"/>
        <w:rPr>
          <w:rFonts w:cstheme="minorHAnsi"/>
          <w:b/>
          <w:sz w:val="24"/>
          <w:szCs w:val="24"/>
        </w:rPr>
      </w:pPr>
      <w:r w:rsidRPr="0082085B">
        <w:rPr>
          <w:rFonts w:cstheme="minorHAnsi"/>
          <w:b/>
          <w:sz w:val="24"/>
          <w:szCs w:val="24"/>
        </w:rPr>
        <w:t>Opći prihodi i primici</w:t>
      </w:r>
      <w:r w:rsidR="00454F24" w:rsidRPr="0082085B">
        <w:rPr>
          <w:rFonts w:cstheme="minorHAnsi"/>
          <w:b/>
          <w:sz w:val="24"/>
          <w:szCs w:val="24"/>
        </w:rPr>
        <w:t xml:space="preserve"> </w:t>
      </w:r>
    </w:p>
    <w:p w:rsidR="000C42D4" w:rsidRPr="000220C2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O</w:t>
      </w:r>
      <w:r w:rsidR="002908A4" w:rsidRPr="000220C2">
        <w:rPr>
          <w:rFonts w:cstheme="minorHAnsi"/>
          <w:sz w:val="24"/>
          <w:szCs w:val="24"/>
        </w:rPr>
        <w:t xml:space="preserve">pći prihodi i primici Škole </w:t>
      </w:r>
      <w:r w:rsidR="001038E3" w:rsidRPr="000220C2">
        <w:rPr>
          <w:rFonts w:cstheme="minorHAnsi"/>
          <w:sz w:val="24"/>
          <w:szCs w:val="24"/>
        </w:rPr>
        <w:t>odnose</w:t>
      </w:r>
      <w:r w:rsidRPr="000220C2">
        <w:rPr>
          <w:rFonts w:cstheme="minorHAnsi"/>
          <w:sz w:val="24"/>
          <w:szCs w:val="24"/>
        </w:rPr>
        <w:t xml:space="preserve"> se na prihode iz proračuna Grada Čakovca. </w:t>
      </w:r>
    </w:p>
    <w:p w:rsidR="007756BF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Sredstva decentraliziranih funkcija osigurana su iz proračuna Grada u iznosu od </w:t>
      </w:r>
      <w:r w:rsidR="001A0A1F">
        <w:rPr>
          <w:rFonts w:cstheme="minorHAnsi"/>
          <w:sz w:val="24"/>
          <w:szCs w:val="24"/>
        </w:rPr>
        <w:t>77.585,00</w:t>
      </w:r>
      <w:r w:rsidR="00D4383B" w:rsidRPr="000220C2">
        <w:rPr>
          <w:rFonts w:cstheme="minorHAnsi"/>
          <w:sz w:val="24"/>
          <w:szCs w:val="24"/>
        </w:rPr>
        <w:t xml:space="preserve"> eur</w:t>
      </w:r>
      <w:r w:rsidR="003F3AC9">
        <w:rPr>
          <w:rFonts w:cstheme="minorHAnsi"/>
          <w:sz w:val="24"/>
          <w:szCs w:val="24"/>
        </w:rPr>
        <w:t>a</w:t>
      </w:r>
      <w:r w:rsidRPr="000220C2">
        <w:rPr>
          <w:rFonts w:cstheme="minorHAnsi"/>
          <w:sz w:val="24"/>
          <w:szCs w:val="24"/>
        </w:rPr>
        <w:t xml:space="preserve"> za materijalne rashode, investicijsko ulaganje i nabavu nefinancijske imovine škole</w:t>
      </w:r>
      <w:r w:rsidR="00293598">
        <w:rPr>
          <w:rFonts w:cstheme="minorHAnsi"/>
          <w:sz w:val="24"/>
          <w:szCs w:val="24"/>
        </w:rPr>
        <w:t xml:space="preserve"> temeljem </w:t>
      </w:r>
      <w:r w:rsidR="00293598" w:rsidRPr="00293598">
        <w:rPr>
          <w:rFonts w:cstheme="minorHAnsi"/>
          <w:i/>
          <w:sz w:val="24"/>
          <w:szCs w:val="24"/>
        </w:rPr>
        <w:t>Odluke financiranju decentraliziranih funkcija osnovnih škola u 2024. godini</w:t>
      </w:r>
      <w:r w:rsidR="00293598">
        <w:rPr>
          <w:rFonts w:cstheme="minorHAnsi"/>
          <w:i/>
          <w:sz w:val="24"/>
          <w:szCs w:val="24"/>
        </w:rPr>
        <w:t>,</w:t>
      </w:r>
      <w:r w:rsidR="007756BF">
        <w:rPr>
          <w:rFonts w:cstheme="minorHAnsi"/>
          <w:sz w:val="24"/>
          <w:szCs w:val="24"/>
        </w:rPr>
        <w:t xml:space="preserve"> pa je pretpostavka da će tako biti i u 2025. godini. </w:t>
      </w:r>
      <w:r w:rsidRPr="000220C2">
        <w:rPr>
          <w:rFonts w:cstheme="minorHAnsi"/>
          <w:sz w:val="24"/>
          <w:szCs w:val="24"/>
        </w:rPr>
        <w:t>Iz proračuna Grada Čakovca također se</w:t>
      </w:r>
      <w:r w:rsidR="007756BF">
        <w:rPr>
          <w:rFonts w:cstheme="minorHAnsi"/>
          <w:sz w:val="24"/>
          <w:szCs w:val="24"/>
        </w:rPr>
        <w:t xml:space="preserve"> i dalje u 2025. godini</w:t>
      </w:r>
      <w:r w:rsidRPr="000220C2">
        <w:rPr>
          <w:rFonts w:cstheme="minorHAnsi"/>
          <w:sz w:val="24"/>
          <w:szCs w:val="24"/>
        </w:rPr>
        <w:t xml:space="preserve"> financira i projekt Pomoćnici u nastavi u udjelu od 15% ukupne vrijednosti projekta</w:t>
      </w:r>
      <w:r w:rsidR="000C42D4" w:rsidRPr="000220C2">
        <w:rPr>
          <w:rFonts w:cstheme="minorHAnsi"/>
          <w:sz w:val="24"/>
          <w:szCs w:val="24"/>
        </w:rPr>
        <w:t>. Grad Čakovec</w:t>
      </w:r>
      <w:r w:rsidR="00674B08">
        <w:rPr>
          <w:rFonts w:cstheme="minorHAnsi"/>
          <w:sz w:val="24"/>
          <w:szCs w:val="24"/>
        </w:rPr>
        <w:t>,</w:t>
      </w:r>
      <w:r w:rsidR="000C42D4" w:rsidRPr="000220C2">
        <w:rPr>
          <w:rFonts w:cstheme="minorHAnsi"/>
          <w:sz w:val="24"/>
          <w:szCs w:val="24"/>
        </w:rPr>
        <w:t xml:space="preserve"> </w:t>
      </w:r>
      <w:r w:rsidR="007756BF">
        <w:rPr>
          <w:rFonts w:cstheme="minorHAnsi"/>
          <w:sz w:val="24"/>
          <w:szCs w:val="24"/>
        </w:rPr>
        <w:t xml:space="preserve"> također </w:t>
      </w:r>
      <w:r w:rsidR="000C42D4" w:rsidRPr="000220C2">
        <w:rPr>
          <w:rFonts w:cstheme="minorHAnsi"/>
          <w:sz w:val="24"/>
          <w:szCs w:val="24"/>
        </w:rPr>
        <w:t>samostalno</w:t>
      </w:r>
      <w:r w:rsidR="006819BB" w:rsidRPr="000220C2">
        <w:rPr>
          <w:rFonts w:cstheme="minorHAnsi"/>
          <w:sz w:val="24"/>
          <w:szCs w:val="24"/>
        </w:rPr>
        <w:t xml:space="preserve">, </w:t>
      </w:r>
      <w:r w:rsidR="00243057" w:rsidRPr="000220C2">
        <w:rPr>
          <w:rFonts w:cstheme="minorHAnsi"/>
          <w:sz w:val="24"/>
          <w:szCs w:val="24"/>
        </w:rPr>
        <w:t xml:space="preserve">u potpunosti financira </w:t>
      </w:r>
      <w:r w:rsidR="006819BB" w:rsidRPr="000220C2">
        <w:rPr>
          <w:rFonts w:cstheme="minorHAnsi"/>
          <w:sz w:val="24"/>
          <w:szCs w:val="24"/>
        </w:rPr>
        <w:t xml:space="preserve"> i </w:t>
      </w:r>
      <w:r w:rsidR="007756BF">
        <w:rPr>
          <w:rFonts w:cstheme="minorHAnsi"/>
          <w:sz w:val="24"/>
          <w:szCs w:val="24"/>
        </w:rPr>
        <w:t>9</w:t>
      </w:r>
      <w:r w:rsidR="00997E2F" w:rsidRPr="000220C2">
        <w:rPr>
          <w:rFonts w:cstheme="minorHAnsi"/>
          <w:sz w:val="24"/>
          <w:szCs w:val="24"/>
        </w:rPr>
        <w:t xml:space="preserve"> </w:t>
      </w:r>
      <w:r w:rsidR="006819BB" w:rsidRPr="000220C2">
        <w:rPr>
          <w:rFonts w:cstheme="minorHAnsi"/>
          <w:sz w:val="24"/>
          <w:szCs w:val="24"/>
        </w:rPr>
        <w:t xml:space="preserve">dodatnih pomoćnika u </w:t>
      </w:r>
      <w:r w:rsidR="00997E2F" w:rsidRPr="000220C2">
        <w:rPr>
          <w:rFonts w:cstheme="minorHAnsi"/>
          <w:sz w:val="24"/>
          <w:szCs w:val="24"/>
        </w:rPr>
        <w:t xml:space="preserve">nastavi kako bi zadovoljio ukupne potrebe škole za pomoćnicima u nastavi. </w:t>
      </w:r>
      <w:r w:rsidRPr="000220C2">
        <w:rPr>
          <w:rFonts w:cstheme="minorHAnsi"/>
          <w:sz w:val="24"/>
          <w:szCs w:val="24"/>
        </w:rPr>
        <w:t xml:space="preserve">Opći prihodi i primici iz financijskog plana </w:t>
      </w:r>
      <w:r w:rsidR="00D4383B" w:rsidRPr="000220C2">
        <w:rPr>
          <w:rFonts w:cstheme="minorHAnsi"/>
          <w:sz w:val="24"/>
          <w:szCs w:val="24"/>
        </w:rPr>
        <w:t>podrazumijevaju</w:t>
      </w:r>
      <w:r w:rsidRPr="000220C2">
        <w:rPr>
          <w:rFonts w:cstheme="minorHAnsi"/>
          <w:sz w:val="24"/>
          <w:szCs w:val="24"/>
        </w:rPr>
        <w:t xml:space="preserve"> i sredstva za usluge e – Tehničara,  </w:t>
      </w:r>
      <w:r w:rsidR="00997E2F" w:rsidRPr="000220C2">
        <w:rPr>
          <w:rFonts w:cstheme="minorHAnsi"/>
          <w:sz w:val="24"/>
          <w:szCs w:val="24"/>
        </w:rPr>
        <w:t xml:space="preserve">sredstva za isplatu naknada učiteljima koji predaju građanski odgoj </w:t>
      </w:r>
      <w:r w:rsidR="00674B08">
        <w:rPr>
          <w:rFonts w:cstheme="minorHAnsi"/>
          <w:sz w:val="24"/>
          <w:szCs w:val="24"/>
        </w:rPr>
        <w:t xml:space="preserve"> te za nabavu drugih obrazovnih materijala za sve učenike škole. </w:t>
      </w:r>
    </w:p>
    <w:p w:rsidR="000B4239" w:rsidRPr="007756BF" w:rsidRDefault="000B4239" w:rsidP="00D4383B">
      <w:pPr>
        <w:jc w:val="both"/>
        <w:rPr>
          <w:rFonts w:cstheme="minorHAnsi"/>
          <w:b/>
          <w:sz w:val="24"/>
          <w:szCs w:val="24"/>
        </w:rPr>
      </w:pPr>
      <w:r w:rsidRPr="007756BF">
        <w:rPr>
          <w:rFonts w:cstheme="minorHAnsi"/>
          <w:b/>
          <w:sz w:val="24"/>
          <w:szCs w:val="24"/>
        </w:rPr>
        <w:t>Pomoći iz nenadležnih proračuna</w:t>
      </w:r>
    </w:p>
    <w:p w:rsidR="007756BF" w:rsidRDefault="000B4239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 xml:space="preserve">OŠ </w:t>
      </w:r>
      <w:proofErr w:type="spellStart"/>
      <w:r w:rsidRPr="000220C2">
        <w:rPr>
          <w:rFonts w:cstheme="minorHAnsi"/>
          <w:sz w:val="24"/>
          <w:szCs w:val="24"/>
        </w:rPr>
        <w:t>Kuršanec</w:t>
      </w:r>
      <w:proofErr w:type="spellEnd"/>
      <w:r w:rsidRPr="000220C2">
        <w:rPr>
          <w:rFonts w:cstheme="minorHAnsi"/>
          <w:sz w:val="24"/>
          <w:szCs w:val="24"/>
        </w:rPr>
        <w:t xml:space="preserve"> iz Državnog proračuna ostvaruje prihode za plaće djelatnika i ostala prava propisana TKU, GKU i ZOR-u</w:t>
      </w:r>
      <w:r w:rsidR="00997E2F" w:rsidRPr="000220C2">
        <w:rPr>
          <w:rFonts w:cstheme="minorHAnsi"/>
          <w:sz w:val="24"/>
          <w:szCs w:val="24"/>
        </w:rPr>
        <w:t xml:space="preserve"> (jubilarne nagrade, pomoći za dugotrajna bolovanja, regres, božićnica, </w:t>
      </w:r>
      <w:proofErr w:type="spellStart"/>
      <w:r w:rsidR="00997E2F" w:rsidRPr="000220C2">
        <w:rPr>
          <w:rFonts w:cstheme="minorHAnsi"/>
          <w:sz w:val="24"/>
          <w:szCs w:val="24"/>
        </w:rPr>
        <w:t>uskrsnica</w:t>
      </w:r>
      <w:proofErr w:type="spellEnd"/>
      <w:r w:rsidR="00997E2F" w:rsidRPr="000220C2">
        <w:rPr>
          <w:rFonts w:cstheme="minorHAnsi"/>
          <w:sz w:val="24"/>
          <w:szCs w:val="24"/>
        </w:rPr>
        <w:t>)</w:t>
      </w:r>
      <w:r w:rsidR="00CD4628" w:rsidRPr="000220C2">
        <w:rPr>
          <w:rFonts w:cstheme="minorHAnsi"/>
          <w:sz w:val="24"/>
          <w:szCs w:val="24"/>
        </w:rPr>
        <w:t xml:space="preserve"> </w:t>
      </w:r>
      <w:r w:rsidR="00293598">
        <w:rPr>
          <w:rFonts w:cstheme="minorHAnsi"/>
          <w:sz w:val="24"/>
          <w:szCs w:val="24"/>
        </w:rPr>
        <w:t>koj</w:t>
      </w:r>
      <w:r w:rsidR="00CE21C2">
        <w:rPr>
          <w:rFonts w:cstheme="minorHAnsi"/>
          <w:sz w:val="24"/>
          <w:szCs w:val="24"/>
        </w:rPr>
        <w:t>a</w:t>
      </w:r>
      <w:r w:rsidR="00293598">
        <w:rPr>
          <w:rFonts w:cstheme="minorHAnsi"/>
          <w:sz w:val="24"/>
          <w:szCs w:val="24"/>
        </w:rPr>
        <w:t xml:space="preserve"> su uvećana </w:t>
      </w:r>
      <w:r w:rsidR="007756BF">
        <w:rPr>
          <w:rFonts w:cstheme="minorHAnsi"/>
          <w:sz w:val="24"/>
          <w:szCs w:val="24"/>
        </w:rPr>
        <w:t>financijski planom za 2025. godinu, radi uvođena novog materijalnog prava, te radi dodatnih zapošljavanja zbo</w:t>
      </w:r>
      <w:r w:rsidR="00674B08">
        <w:rPr>
          <w:rFonts w:cstheme="minorHAnsi"/>
          <w:sz w:val="24"/>
          <w:szCs w:val="24"/>
        </w:rPr>
        <w:t>g</w:t>
      </w:r>
      <w:r w:rsidR="007756BF">
        <w:rPr>
          <w:rFonts w:cstheme="minorHAnsi"/>
          <w:sz w:val="24"/>
          <w:szCs w:val="24"/>
        </w:rPr>
        <w:t xml:space="preserve"> povećanja satnice učitelja</w:t>
      </w:r>
      <w:r w:rsidR="009657F2">
        <w:rPr>
          <w:rFonts w:cstheme="minorHAnsi"/>
          <w:sz w:val="24"/>
          <w:szCs w:val="24"/>
        </w:rPr>
        <w:t>.</w:t>
      </w:r>
      <w:r w:rsidR="00CE21C2">
        <w:rPr>
          <w:rFonts w:cstheme="minorHAnsi"/>
          <w:sz w:val="24"/>
          <w:szCs w:val="24"/>
        </w:rPr>
        <w:t xml:space="preserve"> </w:t>
      </w:r>
      <w:r w:rsidR="002908A4" w:rsidRPr="000220C2">
        <w:rPr>
          <w:rFonts w:cstheme="minorHAnsi"/>
          <w:sz w:val="24"/>
          <w:szCs w:val="24"/>
        </w:rPr>
        <w:t xml:space="preserve">Iz </w:t>
      </w:r>
      <w:r w:rsidR="00D4383B" w:rsidRPr="000220C2">
        <w:rPr>
          <w:rFonts w:cstheme="minorHAnsi"/>
          <w:sz w:val="24"/>
          <w:szCs w:val="24"/>
        </w:rPr>
        <w:t xml:space="preserve"> Državnog proračuna </w:t>
      </w:r>
      <w:r w:rsidR="002908A4" w:rsidRPr="000220C2">
        <w:rPr>
          <w:rFonts w:cstheme="minorHAnsi"/>
          <w:sz w:val="24"/>
          <w:szCs w:val="24"/>
        </w:rPr>
        <w:t>Š</w:t>
      </w:r>
      <w:r w:rsidR="00D4383B" w:rsidRPr="000220C2">
        <w:rPr>
          <w:rFonts w:cstheme="minorHAnsi"/>
          <w:sz w:val="24"/>
          <w:szCs w:val="24"/>
        </w:rPr>
        <w:t>kola ostvaruje sredstva za sufinanciranje Škole u prirodi, nabave udžbenika za učenike</w:t>
      </w:r>
      <w:r w:rsidR="00674B08">
        <w:rPr>
          <w:rFonts w:cstheme="minorHAnsi"/>
          <w:sz w:val="24"/>
          <w:szCs w:val="24"/>
        </w:rPr>
        <w:t>,</w:t>
      </w:r>
      <w:r w:rsidR="007756BF">
        <w:rPr>
          <w:rFonts w:cstheme="minorHAnsi"/>
          <w:sz w:val="24"/>
          <w:szCs w:val="24"/>
        </w:rPr>
        <w:t xml:space="preserve"> koja su također dio financijskog plana za 2025. godinu. ali i projekcija za naredne dvije godine</w:t>
      </w:r>
      <w:r w:rsidR="00997E2F" w:rsidRPr="000220C2">
        <w:rPr>
          <w:rFonts w:cstheme="minorHAnsi"/>
          <w:sz w:val="24"/>
          <w:szCs w:val="24"/>
        </w:rPr>
        <w:t>. Također, iz Državnog proračuna 15postotnom udjelu financira se projekt pomoćnici u nastavi</w:t>
      </w:r>
      <w:r w:rsidR="007756BF">
        <w:rPr>
          <w:rFonts w:cstheme="minorHAnsi"/>
          <w:sz w:val="24"/>
          <w:szCs w:val="24"/>
        </w:rPr>
        <w:t xml:space="preserve"> kao i do sada</w:t>
      </w:r>
      <w:r w:rsidR="00997E2F" w:rsidRPr="000220C2">
        <w:rPr>
          <w:rFonts w:cstheme="minorHAnsi"/>
          <w:sz w:val="24"/>
          <w:szCs w:val="24"/>
        </w:rPr>
        <w:t xml:space="preserve">. </w:t>
      </w:r>
      <w:r w:rsidR="00CE21C2">
        <w:rPr>
          <w:rFonts w:cstheme="minorHAnsi"/>
          <w:sz w:val="24"/>
          <w:szCs w:val="24"/>
        </w:rPr>
        <w:t>Od</w:t>
      </w:r>
      <w:r w:rsidR="00997E2F" w:rsidRPr="000220C2">
        <w:rPr>
          <w:rFonts w:cstheme="minorHAnsi"/>
          <w:sz w:val="24"/>
          <w:szCs w:val="24"/>
        </w:rPr>
        <w:t xml:space="preserve"> 2023. pa nadalje država je preuzela potpuno financiranje školskih obroka za sve učenike škole</w:t>
      </w:r>
      <w:r w:rsidR="007756BF">
        <w:rPr>
          <w:rFonts w:cstheme="minorHAnsi"/>
          <w:sz w:val="24"/>
          <w:szCs w:val="24"/>
        </w:rPr>
        <w:t xml:space="preserve"> pa isto planirano i u 2025. godini.</w:t>
      </w:r>
    </w:p>
    <w:p w:rsidR="00D4383B" w:rsidRPr="007756BF" w:rsidRDefault="00D4383B" w:rsidP="00D4383B">
      <w:pPr>
        <w:jc w:val="both"/>
        <w:rPr>
          <w:rFonts w:cstheme="minorHAnsi"/>
          <w:sz w:val="24"/>
          <w:szCs w:val="24"/>
        </w:rPr>
      </w:pPr>
      <w:r w:rsidRPr="007756BF">
        <w:rPr>
          <w:rFonts w:cstheme="minorHAnsi"/>
          <w:b/>
          <w:sz w:val="24"/>
          <w:szCs w:val="24"/>
        </w:rPr>
        <w:lastRenderedPageBreak/>
        <w:t xml:space="preserve"> Prihodi za posebne namjene</w:t>
      </w:r>
    </w:p>
    <w:p w:rsidR="007756BF" w:rsidRDefault="00D4383B" w:rsidP="00D4383B">
      <w:pPr>
        <w:jc w:val="both"/>
        <w:rPr>
          <w:rFonts w:cstheme="minorHAnsi"/>
          <w:sz w:val="24"/>
          <w:szCs w:val="24"/>
        </w:rPr>
      </w:pPr>
      <w:r w:rsidRPr="000220C2">
        <w:rPr>
          <w:rFonts w:cstheme="minorHAnsi"/>
          <w:sz w:val="24"/>
          <w:szCs w:val="24"/>
        </w:rPr>
        <w:t>Prihodi za školsku kuhinju naplaćuju se od djelatnika škole u iznosu od 1,</w:t>
      </w:r>
      <w:r w:rsidR="00997E2F" w:rsidRPr="000220C2">
        <w:rPr>
          <w:rFonts w:cstheme="minorHAnsi"/>
          <w:sz w:val="24"/>
          <w:szCs w:val="24"/>
        </w:rPr>
        <w:t>40</w:t>
      </w:r>
      <w:r w:rsidR="00CE21C2">
        <w:rPr>
          <w:rFonts w:cstheme="minorHAnsi"/>
          <w:sz w:val="24"/>
          <w:szCs w:val="24"/>
        </w:rPr>
        <w:t xml:space="preserve"> </w:t>
      </w:r>
      <w:r w:rsidRPr="000220C2">
        <w:rPr>
          <w:rFonts w:cstheme="minorHAnsi"/>
          <w:sz w:val="24"/>
          <w:szCs w:val="24"/>
        </w:rPr>
        <w:t>eura po obroku. Iz spomenutih prihod</w:t>
      </w:r>
      <w:r w:rsidR="002908A4" w:rsidRPr="000220C2">
        <w:rPr>
          <w:rFonts w:cstheme="minorHAnsi"/>
          <w:sz w:val="24"/>
          <w:szCs w:val="24"/>
        </w:rPr>
        <w:t>a</w:t>
      </w:r>
      <w:r w:rsidRPr="000220C2">
        <w:rPr>
          <w:rFonts w:cstheme="minorHAnsi"/>
          <w:sz w:val="24"/>
          <w:szCs w:val="24"/>
        </w:rPr>
        <w:t xml:space="preserve"> financira se nabava namirnica, sredstva za čišćenje, opremanje i održavanje školske kuhinje</w:t>
      </w:r>
      <w:r w:rsidR="007756BF">
        <w:rPr>
          <w:rFonts w:cstheme="minorHAnsi"/>
          <w:sz w:val="24"/>
          <w:szCs w:val="24"/>
        </w:rPr>
        <w:t>, a plan prihoda za 2025. iznosi 6.000,00e.</w:t>
      </w:r>
    </w:p>
    <w:p w:rsidR="00997E2F" w:rsidRPr="007756BF" w:rsidRDefault="00997E2F" w:rsidP="00D4383B">
      <w:pPr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7756BF">
        <w:rPr>
          <w:rFonts w:eastAsia="Times New Roman" w:cstheme="minorHAnsi"/>
          <w:b/>
          <w:color w:val="000000"/>
          <w:sz w:val="24"/>
          <w:szCs w:val="24"/>
          <w:lang w:eastAsia="hr-HR"/>
        </w:rPr>
        <w:t>Tekuće pomoći iz državnog proračuna temeljem prijenosa EU sredstava – 85% pomoćnici u nastavi</w:t>
      </w:r>
    </w:p>
    <w:p w:rsidR="00997E2F" w:rsidRPr="000220C2" w:rsidRDefault="00997E2F" w:rsidP="00D4383B">
      <w:pPr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220C2">
        <w:rPr>
          <w:rFonts w:eastAsia="Times New Roman" w:cstheme="minorHAnsi"/>
          <w:color w:val="000000"/>
          <w:sz w:val="24"/>
          <w:szCs w:val="24"/>
          <w:lang w:eastAsia="hr-HR"/>
        </w:rPr>
        <w:t>Tekuće pomoći iz državnog proračuna temeljem prijenosa EU sredstava odnose se na plaće pomoćnika u nastavi u 85% ukupnog iznosa projekta, koji je planiran kako u 202</w:t>
      </w:r>
      <w:r w:rsidR="007756BF">
        <w:rPr>
          <w:rFonts w:eastAsia="Times New Roman" w:cstheme="minorHAnsi"/>
          <w:color w:val="000000"/>
          <w:sz w:val="24"/>
          <w:szCs w:val="24"/>
          <w:lang w:eastAsia="hr-HR"/>
        </w:rPr>
        <w:t>5</w:t>
      </w:r>
      <w:r w:rsidRPr="000220C2">
        <w:rPr>
          <w:rFonts w:eastAsia="Times New Roman" w:cstheme="minorHAnsi"/>
          <w:color w:val="000000"/>
          <w:sz w:val="24"/>
          <w:szCs w:val="24"/>
          <w:lang w:eastAsia="hr-HR"/>
        </w:rPr>
        <w:t>. tako i u 202</w:t>
      </w:r>
      <w:r w:rsidR="007756BF">
        <w:rPr>
          <w:rFonts w:eastAsia="Times New Roman" w:cstheme="minorHAnsi"/>
          <w:color w:val="000000"/>
          <w:sz w:val="24"/>
          <w:szCs w:val="24"/>
          <w:lang w:eastAsia="hr-HR"/>
        </w:rPr>
        <w:t>6</w:t>
      </w:r>
      <w:r w:rsidRPr="000220C2">
        <w:rPr>
          <w:rFonts w:eastAsia="Times New Roman" w:cstheme="minorHAnsi"/>
          <w:color w:val="000000"/>
          <w:sz w:val="24"/>
          <w:szCs w:val="24"/>
          <w:lang w:eastAsia="hr-HR"/>
        </w:rPr>
        <w:t>. i 202</w:t>
      </w:r>
      <w:r w:rsidR="007756BF">
        <w:rPr>
          <w:rFonts w:eastAsia="Times New Roman" w:cstheme="minorHAnsi"/>
          <w:color w:val="000000"/>
          <w:sz w:val="24"/>
          <w:szCs w:val="24"/>
          <w:lang w:eastAsia="hr-HR"/>
        </w:rPr>
        <w:t>7</w:t>
      </w:r>
      <w:r w:rsidRPr="000220C2">
        <w:rPr>
          <w:rFonts w:eastAsia="Times New Roman" w:cstheme="minorHAnsi"/>
          <w:color w:val="000000"/>
          <w:sz w:val="24"/>
          <w:szCs w:val="24"/>
          <w:lang w:eastAsia="hr-HR"/>
        </w:rPr>
        <w:t>. godini</w:t>
      </w:r>
      <w:r w:rsidR="007756BF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0220C2" w:rsidRPr="003F3AC9" w:rsidRDefault="000220C2" w:rsidP="00D4383B">
      <w:pPr>
        <w:jc w:val="both"/>
        <w:rPr>
          <w:rFonts w:cstheme="minorHAnsi"/>
          <w:i/>
          <w:sz w:val="24"/>
          <w:szCs w:val="24"/>
        </w:rPr>
      </w:pPr>
      <w:r w:rsidRPr="003F3AC9">
        <w:rPr>
          <w:rFonts w:cstheme="minorHAnsi"/>
          <w:i/>
          <w:sz w:val="24"/>
          <w:szCs w:val="24"/>
        </w:rPr>
        <w:t>POKAZATELJI USPJEŠNOSTI I TENDENCIJE ZA TROGODIŠNJE RAZDOBLJE</w:t>
      </w:r>
    </w:p>
    <w:p w:rsidR="000220C2" w:rsidRPr="003F3AC9" w:rsidRDefault="000220C2" w:rsidP="000220C2">
      <w:pPr>
        <w:rPr>
          <w:rFonts w:cstheme="minorHAnsi"/>
          <w:sz w:val="24"/>
          <w:szCs w:val="24"/>
        </w:rPr>
      </w:pPr>
      <w:r w:rsidRPr="003F3AC9">
        <w:rPr>
          <w:rFonts w:cstheme="minorHAnsi"/>
          <w:sz w:val="24"/>
          <w:szCs w:val="24"/>
        </w:rPr>
        <w:t>1. Osiguravanje pomoćnika u nastavi za učenike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48"/>
        <w:gridCol w:w="1104"/>
        <w:gridCol w:w="1136"/>
        <w:gridCol w:w="1126"/>
        <w:gridCol w:w="1136"/>
        <w:gridCol w:w="1136"/>
        <w:gridCol w:w="1136"/>
      </w:tblGrid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Pokazatelj rezultata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Definicija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Jedinica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Polazna vrijednost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CE21C2">
              <w:rPr>
                <w:rFonts w:cstheme="minorHAnsi"/>
                <w:sz w:val="20"/>
                <w:szCs w:val="20"/>
              </w:rPr>
              <w:t>4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Izvor podataka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 202</w:t>
            </w:r>
            <w:r w:rsidR="007756BF">
              <w:rPr>
                <w:rFonts w:cstheme="minorHAnsi"/>
                <w:sz w:val="20"/>
                <w:szCs w:val="20"/>
              </w:rPr>
              <w:t>5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E143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7756BF">
              <w:rPr>
                <w:rFonts w:cstheme="minorHAnsi"/>
                <w:sz w:val="20"/>
                <w:szCs w:val="20"/>
              </w:rPr>
              <w:t>6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E143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9E1432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7756BF">
              <w:rPr>
                <w:rFonts w:cstheme="minorHAnsi"/>
                <w:sz w:val="20"/>
                <w:szCs w:val="20"/>
              </w:rPr>
              <w:t>7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 kojima je osiguran pomoćnik u nastavi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Style w:val="apple-converted-space"/>
                <w:color w:val="252525"/>
                <w:sz w:val="20"/>
                <w:szCs w:val="20"/>
                <w:shd w:val="clear" w:color="auto" w:fill="FFFFFF"/>
              </w:rPr>
              <w:t>Pružanje pomoći učenicima s teškoćama u razvoju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161" w:type="dxa"/>
          </w:tcPr>
          <w:p w:rsidR="000220C2" w:rsidRPr="009E1432" w:rsidRDefault="007756BF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GPP ŠKOLE </w:t>
            </w:r>
          </w:p>
        </w:tc>
        <w:tc>
          <w:tcPr>
            <w:tcW w:w="1161" w:type="dxa"/>
          </w:tcPr>
          <w:p w:rsidR="000220C2" w:rsidRPr="009E1432" w:rsidRDefault="007756BF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61" w:type="dxa"/>
          </w:tcPr>
          <w:p w:rsidR="000220C2" w:rsidRPr="009E1432" w:rsidRDefault="007756BF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61" w:type="dxa"/>
          </w:tcPr>
          <w:p w:rsidR="000220C2" w:rsidRPr="009E1432" w:rsidRDefault="007756BF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0220C2" w:rsidRPr="009E1432" w:rsidTr="00DC3C0E">
        <w:tc>
          <w:tcPr>
            <w:tcW w:w="9288" w:type="dxa"/>
            <w:gridSpan w:val="8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Cilj:</w:t>
            </w:r>
            <w:r w:rsidRPr="009E1432">
              <w:rPr>
                <w:rFonts w:cstheme="minorHAnsi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="003F3AC9">
              <w:rPr>
                <w:rFonts w:cstheme="minorHAnsi"/>
                <w:color w:val="252525"/>
                <w:sz w:val="20"/>
                <w:szCs w:val="20"/>
                <w:shd w:val="clear" w:color="auto" w:fill="FFFFFF"/>
              </w:rPr>
              <w:t>i</w:t>
            </w:r>
            <w:r w:rsidR="003F3AC9">
              <w:rPr>
                <w:rFonts w:cstheme="minorHAnsi"/>
                <w:sz w:val="20"/>
                <w:szCs w:val="20"/>
              </w:rPr>
              <w:t>ntegracija i socijalizacija djece s teškoćama u razvoju, pomoć djeci  u svim segmentima u školi</w:t>
            </w:r>
            <w:r w:rsidR="00674B08">
              <w:rPr>
                <w:rFonts w:cstheme="minorHAnsi"/>
                <w:sz w:val="20"/>
                <w:szCs w:val="20"/>
              </w:rPr>
              <w:t>, dodatno zapošljavanje pomoćnika u nastavi</w:t>
            </w:r>
          </w:p>
        </w:tc>
      </w:tr>
    </w:tbl>
    <w:p w:rsidR="000220C2" w:rsidRPr="003F3AC9" w:rsidRDefault="000220C2" w:rsidP="000220C2">
      <w:pPr>
        <w:rPr>
          <w:rFonts w:cstheme="minorHAnsi"/>
          <w:sz w:val="24"/>
          <w:szCs w:val="24"/>
        </w:rPr>
      </w:pPr>
      <w:r w:rsidRPr="003F3AC9">
        <w:rPr>
          <w:rFonts w:cstheme="minorHAnsi"/>
          <w:sz w:val="24"/>
          <w:szCs w:val="24"/>
        </w:rPr>
        <w:t>2. Pokazatelj o broju korisnika školske kuhinje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382"/>
        <w:gridCol w:w="1035"/>
        <w:gridCol w:w="1106"/>
        <w:gridCol w:w="1107"/>
        <w:gridCol w:w="1106"/>
        <w:gridCol w:w="1106"/>
        <w:gridCol w:w="1106"/>
      </w:tblGrid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Pokazatelj rezultata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Definicija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Jedinica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Polazna vrijednost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CE21C2">
              <w:rPr>
                <w:rFonts w:cstheme="minorHAnsi"/>
                <w:sz w:val="20"/>
                <w:szCs w:val="20"/>
              </w:rPr>
              <w:t>4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Izvor podataka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Ciljana vrijednost </w:t>
            </w:r>
            <w:r w:rsidR="009E1432" w:rsidRPr="009E1432">
              <w:rPr>
                <w:rFonts w:cstheme="minorHAnsi"/>
                <w:sz w:val="20"/>
                <w:szCs w:val="20"/>
              </w:rPr>
              <w:t>202</w:t>
            </w:r>
            <w:r w:rsidR="007756BF">
              <w:rPr>
                <w:rFonts w:cstheme="minorHAnsi"/>
                <w:sz w:val="20"/>
                <w:szCs w:val="20"/>
              </w:rPr>
              <w:t>5</w:t>
            </w:r>
            <w:r w:rsidR="009E1432"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7756BF">
              <w:rPr>
                <w:rFonts w:cstheme="minorHAnsi"/>
                <w:sz w:val="20"/>
                <w:szCs w:val="20"/>
              </w:rPr>
              <w:t>6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Ciljana vrijednost</w:t>
            </w:r>
          </w:p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202</w:t>
            </w:r>
            <w:r w:rsidR="007756BF">
              <w:rPr>
                <w:rFonts w:cstheme="minorHAnsi"/>
                <w:sz w:val="20"/>
                <w:szCs w:val="20"/>
              </w:rPr>
              <w:t>7</w:t>
            </w:r>
            <w:r w:rsidRPr="009E143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E1432" w:rsidRPr="009E1432" w:rsidTr="00DC3C0E"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 korisnika školske kuhinje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Uvođenje pravilnih prehrambenih navika kod djece. 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Broj učenika</w:t>
            </w:r>
          </w:p>
        </w:tc>
        <w:tc>
          <w:tcPr>
            <w:tcW w:w="1161" w:type="dxa"/>
          </w:tcPr>
          <w:p w:rsidR="000220C2" w:rsidRPr="009E1432" w:rsidRDefault="007756BF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Evidencija korisnika školske kuhinje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161" w:type="dxa"/>
          </w:tcPr>
          <w:p w:rsidR="000220C2" w:rsidRPr="009E1432" w:rsidRDefault="009E1432" w:rsidP="00DC3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440</w:t>
            </w:r>
          </w:p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20C2" w:rsidRPr="009E1432" w:rsidTr="00DC3C0E">
        <w:tc>
          <w:tcPr>
            <w:tcW w:w="9288" w:type="dxa"/>
            <w:gridSpan w:val="8"/>
          </w:tcPr>
          <w:p w:rsidR="000220C2" w:rsidRPr="009E1432" w:rsidRDefault="000220C2" w:rsidP="00DC3C0E">
            <w:pPr>
              <w:rPr>
                <w:rFonts w:cstheme="minorHAnsi"/>
                <w:sz w:val="20"/>
                <w:szCs w:val="20"/>
              </w:rPr>
            </w:pPr>
            <w:r w:rsidRPr="009E1432">
              <w:rPr>
                <w:rFonts w:cstheme="minorHAnsi"/>
                <w:sz w:val="20"/>
                <w:szCs w:val="20"/>
              </w:rPr>
              <w:t xml:space="preserve">Cilj: </w:t>
            </w:r>
            <w:r w:rsidR="009E1432" w:rsidRPr="009E1432">
              <w:rPr>
                <w:rFonts w:cstheme="minorHAnsi"/>
                <w:sz w:val="20"/>
                <w:szCs w:val="20"/>
              </w:rPr>
              <w:t>osigurati kvalitetan obrok učenicima škole za vrijeme boravka u školi</w:t>
            </w:r>
            <w:r w:rsidR="00674B08">
              <w:rPr>
                <w:rFonts w:cstheme="minorHAnsi"/>
                <w:sz w:val="20"/>
                <w:szCs w:val="20"/>
              </w:rPr>
              <w:t>, motivirati učenike na konzumaciju zdravih obroka, posebice voća i povrća, kroz razne edukacije i predavanja o hrani</w:t>
            </w:r>
          </w:p>
        </w:tc>
        <w:bookmarkStart w:id="1" w:name="_GoBack"/>
        <w:bookmarkEnd w:id="1"/>
      </w:tr>
    </w:tbl>
    <w:p w:rsidR="000220C2" w:rsidRPr="000220C2" w:rsidRDefault="000220C2" w:rsidP="00D4383B">
      <w:pPr>
        <w:jc w:val="both"/>
        <w:rPr>
          <w:rFonts w:cstheme="minorHAnsi"/>
          <w:sz w:val="24"/>
          <w:szCs w:val="24"/>
        </w:rPr>
      </w:pPr>
    </w:p>
    <w:p w:rsidR="00F36CFB" w:rsidRPr="003F3AC9" w:rsidRDefault="000B5DD1" w:rsidP="00F36CFB">
      <w:pPr>
        <w:pStyle w:val="Tijeloteksta"/>
        <w:spacing w:line="28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885DB">
            <wp:simplePos x="0" y="0"/>
            <wp:positionH relativeFrom="column">
              <wp:posOffset>4236692</wp:posOffset>
            </wp:positionH>
            <wp:positionV relativeFrom="paragraph">
              <wp:posOffset>32523</wp:posOffset>
            </wp:positionV>
            <wp:extent cx="1566407" cy="674288"/>
            <wp:effectExtent l="0" t="0" r="0" b="0"/>
            <wp:wrapNone/>
            <wp:docPr id="2" name="Slika 2" descr="C:\Users\Admin\AppData\Local\Packages\Microsoft.Windows.Photos_8wekyb3d8bbwe\TempState\ShareServiceTempFolder\potpis dar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potpis darj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7" cy="67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AC9" w:rsidRPr="003F3AC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D4383B" w:rsidRPr="000220C2" w:rsidRDefault="00D4383B" w:rsidP="00550FD1">
      <w:pPr>
        <w:pStyle w:val="StandardWeb"/>
        <w:jc w:val="right"/>
        <w:rPr>
          <w:rFonts w:cstheme="minorHAnsi"/>
        </w:rPr>
      </w:pPr>
    </w:p>
    <w:sectPr w:rsidR="00D4383B" w:rsidRPr="0002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4"/>
    <w:rsid w:val="000220C2"/>
    <w:rsid w:val="000B4239"/>
    <w:rsid w:val="000B5DD1"/>
    <w:rsid w:val="000C42D4"/>
    <w:rsid w:val="000F57D8"/>
    <w:rsid w:val="001038E3"/>
    <w:rsid w:val="001A0A1F"/>
    <w:rsid w:val="00203AC7"/>
    <w:rsid w:val="00243057"/>
    <w:rsid w:val="00257144"/>
    <w:rsid w:val="002908A4"/>
    <w:rsid w:val="00293598"/>
    <w:rsid w:val="00294673"/>
    <w:rsid w:val="002A1A84"/>
    <w:rsid w:val="002A584C"/>
    <w:rsid w:val="002F2094"/>
    <w:rsid w:val="003C3DA8"/>
    <w:rsid w:val="003F3AC9"/>
    <w:rsid w:val="00454F24"/>
    <w:rsid w:val="00550FD1"/>
    <w:rsid w:val="00643589"/>
    <w:rsid w:val="00674B08"/>
    <w:rsid w:val="006819BB"/>
    <w:rsid w:val="007756BF"/>
    <w:rsid w:val="0082085B"/>
    <w:rsid w:val="009130D9"/>
    <w:rsid w:val="009657F2"/>
    <w:rsid w:val="00984D9C"/>
    <w:rsid w:val="00997E2F"/>
    <w:rsid w:val="009E1432"/>
    <w:rsid w:val="00B4673C"/>
    <w:rsid w:val="00BC3C79"/>
    <w:rsid w:val="00C66E1A"/>
    <w:rsid w:val="00C7652C"/>
    <w:rsid w:val="00CD4628"/>
    <w:rsid w:val="00CE21C2"/>
    <w:rsid w:val="00D4383B"/>
    <w:rsid w:val="00EF58A5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FAC2"/>
  <w15:chartTrackingRefBased/>
  <w15:docId w15:val="{F5D1F653-90FC-439E-BED3-BB35587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36C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TijelotekstaChar">
    <w:name w:val="Tijelo teksta Char"/>
    <w:basedOn w:val="Zadanifontodlomka"/>
    <w:link w:val="Tijeloteksta"/>
    <w:uiPriority w:val="1"/>
    <w:rsid w:val="00F36CFB"/>
    <w:rPr>
      <w:rFonts w:ascii="Arial" w:eastAsia="Arial" w:hAnsi="Arial" w:cs="Arial"/>
      <w:sz w:val="25"/>
      <w:szCs w:val="2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8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0220C2"/>
  </w:style>
  <w:style w:type="paragraph" w:styleId="StandardWeb">
    <w:name w:val="Normal (Web)"/>
    <w:basedOn w:val="Normal"/>
    <w:uiPriority w:val="99"/>
    <w:unhideWhenUsed/>
    <w:rsid w:val="00C6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Fučec</dc:creator>
  <cp:keywords/>
  <dc:description/>
  <cp:lastModifiedBy>Elena Fučec</cp:lastModifiedBy>
  <cp:revision>9</cp:revision>
  <cp:lastPrinted>2022-11-09T13:03:00Z</cp:lastPrinted>
  <dcterms:created xsi:type="dcterms:W3CDTF">2023-11-16T13:09:00Z</dcterms:created>
  <dcterms:modified xsi:type="dcterms:W3CDTF">2024-11-11T13:36:00Z</dcterms:modified>
</cp:coreProperties>
</file>