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26A3" w14:textId="77777777" w:rsidR="00C115E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NAZIV OBVEZNIKA: OSNOVNA ŠKOLA KURŠANEC</w:t>
      </w:r>
    </w:p>
    <w:p w14:paraId="72E0FA9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BROJ RKP-A: 23198</w:t>
      </w:r>
    </w:p>
    <w:p w14:paraId="3BFAD969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SJEDIŠTE OBVEZNIKA: KURŠANEC</w:t>
      </w:r>
    </w:p>
    <w:p w14:paraId="2173678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MATIČNI BROJ: 01457012</w:t>
      </w:r>
    </w:p>
    <w:p w14:paraId="6357DD2A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ADRESA SJEDIŠTA OBVEZNIKA: GLAVNA ULICA 15, KURŠANEC</w:t>
      </w:r>
    </w:p>
    <w:p w14:paraId="3CCC91C3" w14:textId="55791CC8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OIB:</w:t>
      </w:r>
      <w:r w:rsidR="00D92C75">
        <w:rPr>
          <w:b/>
          <w:sz w:val="24"/>
          <w:szCs w:val="24"/>
        </w:rPr>
        <w:t xml:space="preserve"> </w:t>
      </w:r>
      <w:r w:rsidRPr="00D6685C">
        <w:rPr>
          <w:b/>
          <w:sz w:val="24"/>
          <w:szCs w:val="24"/>
        </w:rPr>
        <w:t>60845884456</w:t>
      </w:r>
    </w:p>
    <w:p w14:paraId="0F00C933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RAZINA:</w:t>
      </w:r>
      <w:r>
        <w:rPr>
          <w:b/>
          <w:sz w:val="24"/>
          <w:szCs w:val="24"/>
        </w:rPr>
        <w:t xml:space="preserve"> 31</w:t>
      </w:r>
    </w:p>
    <w:p w14:paraId="2C335776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RAZDJEL:</w:t>
      </w:r>
      <w:r>
        <w:rPr>
          <w:b/>
          <w:sz w:val="24"/>
          <w:szCs w:val="24"/>
        </w:rPr>
        <w:t xml:space="preserve"> - </w:t>
      </w:r>
    </w:p>
    <w:p w14:paraId="48AF0A9B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DJELATNOSTI:</w:t>
      </w:r>
      <w:r>
        <w:rPr>
          <w:b/>
          <w:sz w:val="24"/>
          <w:szCs w:val="24"/>
        </w:rPr>
        <w:t xml:space="preserve"> 8520</w:t>
      </w:r>
    </w:p>
    <w:p w14:paraId="7E36B3BF" w14:textId="77777777" w:rsidR="00D6685C" w:rsidRP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ŽUPANIJE: 20</w:t>
      </w:r>
    </w:p>
    <w:p w14:paraId="139AA59E" w14:textId="77777777" w:rsidR="00D6685C" w:rsidRDefault="00D6685C" w:rsidP="00D6685C">
      <w:pPr>
        <w:spacing w:after="0"/>
        <w:rPr>
          <w:b/>
          <w:sz w:val="24"/>
          <w:szCs w:val="24"/>
        </w:rPr>
      </w:pPr>
      <w:r w:rsidRPr="00D6685C">
        <w:rPr>
          <w:b/>
          <w:sz w:val="24"/>
          <w:szCs w:val="24"/>
        </w:rPr>
        <w:t>ŠIFRA GRADA / OPĆINE:</w:t>
      </w:r>
      <w:r>
        <w:rPr>
          <w:b/>
          <w:sz w:val="24"/>
          <w:szCs w:val="24"/>
        </w:rPr>
        <w:t xml:space="preserve"> 60</w:t>
      </w:r>
    </w:p>
    <w:p w14:paraId="2ED0625C" w14:textId="77777777" w:rsidR="00D6685C" w:rsidRDefault="00D6685C" w:rsidP="00D6685C">
      <w:pPr>
        <w:spacing w:after="0"/>
        <w:rPr>
          <w:b/>
          <w:sz w:val="24"/>
          <w:szCs w:val="24"/>
        </w:rPr>
      </w:pPr>
    </w:p>
    <w:p w14:paraId="0B5A3399" w14:textId="4763C403" w:rsidR="00D6685C" w:rsidRDefault="00D6685C" w:rsidP="00D6685C">
      <w:pPr>
        <w:spacing w:after="0"/>
        <w:rPr>
          <w:sz w:val="24"/>
          <w:szCs w:val="24"/>
        </w:rPr>
      </w:pPr>
      <w:proofErr w:type="spellStart"/>
      <w:r w:rsidRPr="00D6685C">
        <w:rPr>
          <w:sz w:val="24"/>
          <w:szCs w:val="24"/>
        </w:rPr>
        <w:t>Kuršanec</w:t>
      </w:r>
      <w:proofErr w:type="spellEnd"/>
      <w:r w:rsidRPr="00D6685C">
        <w:rPr>
          <w:sz w:val="24"/>
          <w:szCs w:val="24"/>
        </w:rPr>
        <w:t xml:space="preserve">, </w:t>
      </w:r>
      <w:r w:rsidR="00363681">
        <w:rPr>
          <w:sz w:val="24"/>
          <w:szCs w:val="24"/>
        </w:rPr>
        <w:t>24.1.2024</w:t>
      </w:r>
      <w:r w:rsidR="000C6C24">
        <w:rPr>
          <w:sz w:val="24"/>
          <w:szCs w:val="24"/>
        </w:rPr>
        <w:t>.</w:t>
      </w:r>
      <w:r w:rsidR="00EC7E2C">
        <w:rPr>
          <w:sz w:val="24"/>
          <w:szCs w:val="24"/>
        </w:rPr>
        <w:t>g</w:t>
      </w:r>
      <w:r w:rsidR="000C6C24">
        <w:rPr>
          <w:sz w:val="24"/>
          <w:szCs w:val="24"/>
        </w:rPr>
        <w:t>.</w:t>
      </w:r>
    </w:p>
    <w:p w14:paraId="1E7A35B2" w14:textId="77777777" w:rsidR="00D6685C" w:rsidRPr="00D6685C" w:rsidRDefault="00D6685C" w:rsidP="00D6685C">
      <w:pPr>
        <w:spacing w:after="0"/>
        <w:rPr>
          <w:sz w:val="24"/>
          <w:szCs w:val="24"/>
        </w:rPr>
      </w:pPr>
    </w:p>
    <w:p w14:paraId="2000DAC5" w14:textId="77777777" w:rsidR="00C35D49" w:rsidRDefault="00D6685C" w:rsidP="00D668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FINANCIJSKE IZVJEŠTAJE</w:t>
      </w:r>
    </w:p>
    <w:p w14:paraId="07915BC1" w14:textId="45D9038A" w:rsidR="00D6685C" w:rsidRDefault="00D6685C" w:rsidP="00D668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 RAZDOBLJ</w:t>
      </w:r>
      <w:r w:rsidR="00D92C7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OD 1.</w:t>
      </w:r>
      <w:r w:rsidR="00D92C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SIJEČNJA 202</w:t>
      </w:r>
      <w:r w:rsidR="008408DF">
        <w:rPr>
          <w:b/>
          <w:sz w:val="24"/>
          <w:szCs w:val="24"/>
        </w:rPr>
        <w:t>4</w:t>
      </w:r>
      <w:r w:rsidR="00AE450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DO </w:t>
      </w:r>
      <w:r w:rsidR="009A7D31">
        <w:rPr>
          <w:b/>
          <w:sz w:val="24"/>
          <w:szCs w:val="24"/>
        </w:rPr>
        <w:t>3</w:t>
      </w:r>
      <w:r w:rsidR="00363681">
        <w:rPr>
          <w:b/>
          <w:sz w:val="24"/>
          <w:szCs w:val="24"/>
        </w:rPr>
        <w:t xml:space="preserve">1. PROSINCA </w:t>
      </w:r>
      <w:r w:rsidR="00AE4509">
        <w:rPr>
          <w:b/>
          <w:sz w:val="24"/>
          <w:szCs w:val="24"/>
        </w:rPr>
        <w:t>202</w:t>
      </w:r>
      <w:r w:rsidR="008408D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GODINE</w:t>
      </w:r>
    </w:p>
    <w:p w14:paraId="6E79C0CB" w14:textId="77777777" w:rsidR="00D6685C" w:rsidRDefault="00D6685C" w:rsidP="00D6685C">
      <w:pPr>
        <w:spacing w:after="0"/>
        <w:jc w:val="center"/>
        <w:rPr>
          <w:b/>
          <w:sz w:val="24"/>
          <w:szCs w:val="24"/>
        </w:rPr>
      </w:pPr>
    </w:p>
    <w:p w14:paraId="4FE6291A" w14:textId="77777777" w:rsidR="00D6685C" w:rsidRDefault="00D6685C" w:rsidP="00D6685C">
      <w:pPr>
        <w:spacing w:after="0"/>
        <w:jc w:val="center"/>
        <w:rPr>
          <w:b/>
          <w:sz w:val="24"/>
          <w:szCs w:val="24"/>
        </w:rPr>
      </w:pPr>
    </w:p>
    <w:p w14:paraId="4BC39FF0" w14:textId="2DADA436" w:rsidR="00D6685C" w:rsidRDefault="00271D5C" w:rsidP="00BE6993">
      <w:pPr>
        <w:spacing w:after="0"/>
        <w:jc w:val="both"/>
        <w:rPr>
          <w:sz w:val="24"/>
          <w:szCs w:val="24"/>
        </w:rPr>
      </w:pPr>
      <w:r w:rsidRPr="00BE6993">
        <w:rPr>
          <w:sz w:val="24"/>
          <w:szCs w:val="24"/>
        </w:rPr>
        <w:t xml:space="preserve">U Osnovnoj školi </w:t>
      </w:r>
      <w:proofErr w:type="spellStart"/>
      <w:r w:rsidRPr="00BE6993">
        <w:rPr>
          <w:sz w:val="24"/>
          <w:szCs w:val="24"/>
        </w:rPr>
        <w:t>Kuršanec</w:t>
      </w:r>
      <w:proofErr w:type="spellEnd"/>
      <w:r w:rsidRPr="00BE6993">
        <w:rPr>
          <w:sz w:val="24"/>
          <w:szCs w:val="24"/>
        </w:rPr>
        <w:t xml:space="preserve"> na dan </w:t>
      </w:r>
      <w:r w:rsidR="00363681">
        <w:rPr>
          <w:sz w:val="24"/>
          <w:szCs w:val="24"/>
        </w:rPr>
        <w:t>31.12</w:t>
      </w:r>
      <w:r w:rsidRPr="00BE6993">
        <w:rPr>
          <w:sz w:val="24"/>
          <w:szCs w:val="24"/>
        </w:rPr>
        <w:t>.</w:t>
      </w:r>
      <w:r w:rsidR="000C6C24">
        <w:rPr>
          <w:sz w:val="24"/>
          <w:szCs w:val="24"/>
        </w:rPr>
        <w:t>202</w:t>
      </w:r>
      <w:r w:rsidR="008408DF">
        <w:rPr>
          <w:sz w:val="24"/>
          <w:szCs w:val="24"/>
        </w:rPr>
        <w:t>4</w:t>
      </w:r>
      <w:r w:rsidR="000C6C24">
        <w:rPr>
          <w:sz w:val="24"/>
          <w:szCs w:val="24"/>
        </w:rPr>
        <w:t>.</w:t>
      </w:r>
      <w:r w:rsidRPr="00BE6993">
        <w:rPr>
          <w:sz w:val="24"/>
          <w:szCs w:val="24"/>
        </w:rPr>
        <w:t xml:space="preserve"> zaposleno je ukupno </w:t>
      </w:r>
      <w:r w:rsidR="00363681">
        <w:rPr>
          <w:sz w:val="24"/>
          <w:szCs w:val="24"/>
        </w:rPr>
        <w:t>91</w:t>
      </w:r>
      <w:r w:rsidRPr="00BE6993">
        <w:rPr>
          <w:sz w:val="24"/>
          <w:szCs w:val="24"/>
        </w:rPr>
        <w:t xml:space="preserve"> djelatnika, dok je broj učenika koji pohađa školu, na dan </w:t>
      </w:r>
      <w:r w:rsidR="00363681">
        <w:rPr>
          <w:sz w:val="24"/>
          <w:szCs w:val="24"/>
        </w:rPr>
        <w:t>31.12.2024</w:t>
      </w:r>
      <w:r w:rsidR="000C6C24">
        <w:rPr>
          <w:sz w:val="24"/>
          <w:szCs w:val="24"/>
        </w:rPr>
        <w:t>.</w:t>
      </w:r>
      <w:r w:rsidR="000C6C24" w:rsidRPr="00BE6993">
        <w:rPr>
          <w:sz w:val="24"/>
          <w:szCs w:val="24"/>
        </w:rPr>
        <w:t xml:space="preserve"> </w:t>
      </w:r>
      <w:r w:rsidRPr="00BE6993">
        <w:rPr>
          <w:sz w:val="24"/>
          <w:szCs w:val="24"/>
        </w:rPr>
        <w:t xml:space="preserve">godine </w:t>
      </w:r>
      <w:bookmarkStart w:id="0" w:name="_GoBack"/>
      <w:r w:rsidR="008408DF" w:rsidRPr="00977EC5">
        <w:rPr>
          <w:sz w:val="24"/>
          <w:szCs w:val="24"/>
        </w:rPr>
        <w:t>4</w:t>
      </w:r>
      <w:r w:rsidR="00977EC5" w:rsidRPr="00977EC5">
        <w:rPr>
          <w:sz w:val="24"/>
          <w:szCs w:val="24"/>
        </w:rPr>
        <w:t>30</w:t>
      </w:r>
      <w:bookmarkEnd w:id="0"/>
      <w:r w:rsidR="000C6C24">
        <w:rPr>
          <w:sz w:val="24"/>
          <w:szCs w:val="24"/>
        </w:rPr>
        <w:t>.</w:t>
      </w:r>
      <w:r w:rsidR="00D92C75">
        <w:rPr>
          <w:sz w:val="24"/>
          <w:szCs w:val="24"/>
        </w:rPr>
        <w:t xml:space="preserve"> </w:t>
      </w:r>
      <w:r w:rsidRPr="00BE6993">
        <w:rPr>
          <w:sz w:val="24"/>
          <w:szCs w:val="24"/>
        </w:rPr>
        <w:t xml:space="preserve">Plaća djelatnika </w:t>
      </w:r>
      <w:r w:rsidR="00D92C75">
        <w:rPr>
          <w:sz w:val="24"/>
          <w:szCs w:val="24"/>
        </w:rPr>
        <w:t>pretežito se financira</w:t>
      </w:r>
      <w:r w:rsidRPr="00BE6993">
        <w:rPr>
          <w:sz w:val="24"/>
          <w:szCs w:val="24"/>
        </w:rPr>
        <w:t xml:space="preserve"> iz državnog proračuna, dok se dio, koji se odnosi na pomoćnike u nastavi, financira </w:t>
      </w:r>
      <w:r w:rsidR="00BE6993">
        <w:rPr>
          <w:sz w:val="24"/>
          <w:szCs w:val="24"/>
        </w:rPr>
        <w:t>d</w:t>
      </w:r>
      <w:r w:rsidR="00234A64">
        <w:rPr>
          <w:sz w:val="24"/>
          <w:szCs w:val="24"/>
        </w:rPr>
        <w:t>i</w:t>
      </w:r>
      <w:r w:rsidRPr="00BE6993">
        <w:rPr>
          <w:sz w:val="24"/>
          <w:szCs w:val="24"/>
        </w:rPr>
        <w:t>jelom iz</w:t>
      </w:r>
      <w:r w:rsidR="00CD42E6">
        <w:rPr>
          <w:sz w:val="24"/>
          <w:szCs w:val="24"/>
        </w:rPr>
        <w:t xml:space="preserve"> državnog</w:t>
      </w:r>
      <w:r w:rsidRPr="00BE6993">
        <w:rPr>
          <w:sz w:val="24"/>
          <w:szCs w:val="24"/>
        </w:rPr>
        <w:t xml:space="preserve"> </w:t>
      </w:r>
      <w:r w:rsidR="00BE6993" w:rsidRPr="00BE6993">
        <w:rPr>
          <w:sz w:val="24"/>
          <w:szCs w:val="24"/>
        </w:rPr>
        <w:t>proračuna,</w:t>
      </w:r>
      <w:r w:rsidR="00D92C75">
        <w:rPr>
          <w:sz w:val="24"/>
          <w:szCs w:val="24"/>
        </w:rPr>
        <w:t xml:space="preserve"> d</w:t>
      </w:r>
      <w:r w:rsidR="00234A64">
        <w:rPr>
          <w:sz w:val="24"/>
          <w:szCs w:val="24"/>
        </w:rPr>
        <w:t>i</w:t>
      </w:r>
      <w:r w:rsidR="00D92C75">
        <w:rPr>
          <w:sz w:val="24"/>
          <w:szCs w:val="24"/>
        </w:rPr>
        <w:t>jelom</w:t>
      </w:r>
      <w:r w:rsidR="00BE6993" w:rsidRPr="00BE6993">
        <w:rPr>
          <w:sz w:val="24"/>
          <w:szCs w:val="24"/>
        </w:rPr>
        <w:t xml:space="preserve"> temeljem prijenosa sredstava EU i </w:t>
      </w:r>
      <w:r w:rsidR="00D92C75">
        <w:rPr>
          <w:sz w:val="24"/>
          <w:szCs w:val="24"/>
        </w:rPr>
        <w:t>d</w:t>
      </w:r>
      <w:r w:rsidR="00234A64">
        <w:rPr>
          <w:sz w:val="24"/>
          <w:szCs w:val="24"/>
        </w:rPr>
        <w:t>i</w:t>
      </w:r>
      <w:r w:rsidR="00D92C75">
        <w:rPr>
          <w:sz w:val="24"/>
          <w:szCs w:val="24"/>
        </w:rPr>
        <w:t xml:space="preserve">jelom iz </w:t>
      </w:r>
      <w:r w:rsidR="00BE6993" w:rsidRPr="00BE6993">
        <w:rPr>
          <w:sz w:val="24"/>
          <w:szCs w:val="24"/>
        </w:rPr>
        <w:t>proračuna Grada Čakovca.</w:t>
      </w:r>
      <w:r w:rsidR="00BE6993">
        <w:rPr>
          <w:sz w:val="24"/>
          <w:szCs w:val="24"/>
        </w:rPr>
        <w:t xml:space="preserve"> </w:t>
      </w:r>
    </w:p>
    <w:p w14:paraId="2ADB9DB2" w14:textId="77777777" w:rsidR="0042515C" w:rsidRDefault="0042515C" w:rsidP="00BE6993">
      <w:pPr>
        <w:spacing w:after="0"/>
        <w:jc w:val="both"/>
        <w:rPr>
          <w:sz w:val="24"/>
          <w:szCs w:val="24"/>
        </w:rPr>
      </w:pPr>
    </w:p>
    <w:p w14:paraId="463D7188" w14:textId="77777777" w:rsidR="0042515C" w:rsidRDefault="0042515C" w:rsidP="00BE6993">
      <w:pPr>
        <w:spacing w:after="0"/>
        <w:jc w:val="both"/>
        <w:rPr>
          <w:sz w:val="24"/>
          <w:szCs w:val="24"/>
          <w:u w:val="single"/>
        </w:rPr>
      </w:pPr>
      <w:r w:rsidRPr="0042515C">
        <w:rPr>
          <w:sz w:val="24"/>
          <w:szCs w:val="24"/>
          <w:u w:val="single"/>
        </w:rPr>
        <w:t>OBRAZAC PR-RAS</w:t>
      </w:r>
    </w:p>
    <w:p w14:paraId="3E394D44" w14:textId="77777777" w:rsidR="0042515C" w:rsidRDefault="0042515C" w:rsidP="00BE6993">
      <w:pPr>
        <w:spacing w:after="0"/>
        <w:jc w:val="both"/>
        <w:rPr>
          <w:sz w:val="24"/>
          <w:szCs w:val="24"/>
          <w:u w:val="single"/>
        </w:rPr>
      </w:pPr>
    </w:p>
    <w:p w14:paraId="375601E5" w14:textId="568C39D1" w:rsidR="0042515C" w:rsidRDefault="0042515C" w:rsidP="00BE6993">
      <w:pPr>
        <w:spacing w:after="0"/>
        <w:jc w:val="both"/>
        <w:rPr>
          <w:sz w:val="24"/>
          <w:szCs w:val="24"/>
        </w:rPr>
      </w:pPr>
      <w:r w:rsidRPr="0042515C">
        <w:rPr>
          <w:sz w:val="24"/>
          <w:szCs w:val="24"/>
        </w:rPr>
        <w:t xml:space="preserve">Izvještaj o prihodima i rashodima, primicima i izdacima prikazuje ukupne prihode škole </w:t>
      </w:r>
      <w:r w:rsidR="00AE4509">
        <w:rPr>
          <w:sz w:val="24"/>
          <w:szCs w:val="24"/>
        </w:rPr>
        <w:t xml:space="preserve">do </w:t>
      </w:r>
      <w:r w:rsidR="00363681">
        <w:rPr>
          <w:sz w:val="24"/>
          <w:szCs w:val="24"/>
        </w:rPr>
        <w:t>31.12.</w:t>
      </w:r>
      <w:r w:rsidR="00EC7E2C">
        <w:rPr>
          <w:sz w:val="24"/>
          <w:szCs w:val="24"/>
        </w:rPr>
        <w:t>202</w:t>
      </w:r>
      <w:r w:rsidR="008408DF">
        <w:rPr>
          <w:sz w:val="24"/>
          <w:szCs w:val="24"/>
        </w:rPr>
        <w:t>4</w:t>
      </w:r>
      <w:r w:rsidR="00EC7E2C">
        <w:rPr>
          <w:sz w:val="24"/>
          <w:szCs w:val="24"/>
        </w:rPr>
        <w:t>.</w:t>
      </w:r>
      <w:r w:rsidRPr="0042515C">
        <w:rPr>
          <w:sz w:val="24"/>
          <w:szCs w:val="24"/>
        </w:rPr>
        <w:t xml:space="preserve"> godin</w:t>
      </w:r>
      <w:r w:rsidR="00AE4509">
        <w:rPr>
          <w:sz w:val="24"/>
          <w:szCs w:val="24"/>
        </w:rPr>
        <w:t>e</w:t>
      </w:r>
      <w:r w:rsidRPr="004251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koji su </w:t>
      </w:r>
      <w:r w:rsidR="008408DF">
        <w:rPr>
          <w:sz w:val="24"/>
          <w:szCs w:val="24"/>
        </w:rPr>
        <w:t xml:space="preserve">značajno </w:t>
      </w:r>
      <w:r>
        <w:rPr>
          <w:sz w:val="24"/>
          <w:szCs w:val="24"/>
        </w:rPr>
        <w:t xml:space="preserve">uvećani u odnosu na </w:t>
      </w:r>
      <w:r w:rsidR="00AE4509">
        <w:rPr>
          <w:sz w:val="24"/>
          <w:szCs w:val="24"/>
        </w:rPr>
        <w:t>promatrano razdoblje 202</w:t>
      </w:r>
      <w:r w:rsidR="008408DF">
        <w:rPr>
          <w:sz w:val="24"/>
          <w:szCs w:val="24"/>
        </w:rPr>
        <w:t>3</w:t>
      </w:r>
      <w:r w:rsidR="00AE4509">
        <w:rPr>
          <w:sz w:val="24"/>
          <w:szCs w:val="24"/>
        </w:rPr>
        <w:t>.</w:t>
      </w:r>
      <w:r>
        <w:rPr>
          <w:sz w:val="24"/>
          <w:szCs w:val="24"/>
        </w:rPr>
        <w:t xml:space="preserve"> godin</w:t>
      </w:r>
      <w:r w:rsidR="00AE4509">
        <w:rPr>
          <w:sz w:val="24"/>
          <w:szCs w:val="24"/>
        </w:rPr>
        <w:t>e</w:t>
      </w:r>
      <w:r w:rsidR="00D92C75">
        <w:rPr>
          <w:sz w:val="24"/>
          <w:szCs w:val="24"/>
        </w:rPr>
        <w:t>, kao i ukupne rashode škole, također uvećane u odnosu na prethodno razdoblje.</w:t>
      </w:r>
    </w:p>
    <w:p w14:paraId="00B6EB34" w14:textId="1E23CE4F" w:rsidR="000506FA" w:rsidRDefault="000506FA" w:rsidP="00BE6993">
      <w:pPr>
        <w:spacing w:after="0"/>
        <w:jc w:val="both"/>
        <w:rPr>
          <w:sz w:val="24"/>
          <w:szCs w:val="24"/>
        </w:rPr>
      </w:pPr>
    </w:p>
    <w:p w14:paraId="5EAE7886" w14:textId="794FDA2D" w:rsidR="000506FA" w:rsidRDefault="000506FA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Konto 6331 </w:t>
      </w:r>
      <w:r w:rsidR="006461BA">
        <w:rPr>
          <w:sz w:val="24"/>
          <w:szCs w:val="24"/>
        </w:rPr>
        <w:t>evidentira</w:t>
      </w:r>
      <w:r>
        <w:rPr>
          <w:sz w:val="24"/>
          <w:szCs w:val="24"/>
        </w:rPr>
        <w:t xml:space="preserve"> prihode iz </w:t>
      </w:r>
      <w:r w:rsidR="006461BA">
        <w:rPr>
          <w:sz w:val="24"/>
          <w:szCs w:val="24"/>
        </w:rPr>
        <w:t>d</w:t>
      </w:r>
      <w:r>
        <w:rPr>
          <w:sz w:val="24"/>
          <w:szCs w:val="24"/>
        </w:rPr>
        <w:t xml:space="preserve">ržavnog proračuna </w:t>
      </w:r>
      <w:r w:rsidR="008408DF">
        <w:rPr>
          <w:sz w:val="24"/>
          <w:szCs w:val="24"/>
        </w:rPr>
        <w:t xml:space="preserve">koji financiraju 15% plaće pomoćnika koji su zaposleni u OŠ </w:t>
      </w:r>
      <w:proofErr w:type="spellStart"/>
      <w:r w:rsidR="008408DF">
        <w:rPr>
          <w:sz w:val="24"/>
          <w:szCs w:val="24"/>
        </w:rPr>
        <w:t>Kuršanec</w:t>
      </w:r>
      <w:proofErr w:type="spellEnd"/>
      <w:r w:rsidR="008408DF">
        <w:rPr>
          <w:sz w:val="24"/>
          <w:szCs w:val="24"/>
        </w:rPr>
        <w:t xml:space="preserve"> kroz projekt EU</w:t>
      </w:r>
      <w:r w:rsidR="00363681">
        <w:rPr>
          <w:sz w:val="24"/>
          <w:szCs w:val="24"/>
        </w:rPr>
        <w:t xml:space="preserve"> U 2023. godini, dok je u 2024. godini ukupan iznos za plaće pomoćnika u nastavi kroz projekt EU evidentiran na kontu 6393.</w:t>
      </w:r>
    </w:p>
    <w:p w14:paraId="28DFC424" w14:textId="2B746C7A" w:rsidR="00AE4509" w:rsidRDefault="00AE4509" w:rsidP="00BE6993">
      <w:pPr>
        <w:spacing w:after="0"/>
        <w:jc w:val="both"/>
        <w:rPr>
          <w:sz w:val="24"/>
          <w:szCs w:val="24"/>
        </w:rPr>
      </w:pPr>
    </w:p>
    <w:p w14:paraId="2D0F0DAF" w14:textId="09029A79" w:rsidR="008408DF" w:rsidRDefault="00AE4509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Prihodi škole  na kontu 6361 uvećani su u odnosu na 202</w:t>
      </w:r>
      <w:r w:rsidR="008408DF">
        <w:rPr>
          <w:sz w:val="24"/>
          <w:szCs w:val="24"/>
        </w:rPr>
        <w:t>3</w:t>
      </w:r>
      <w:r>
        <w:rPr>
          <w:sz w:val="24"/>
          <w:szCs w:val="24"/>
        </w:rPr>
        <w:t>. godinu, a odnose se na prihode od nenadležnih proračuna, većim dijelom proračuna MZO</w:t>
      </w:r>
      <w:r w:rsidR="008408DF">
        <w:rPr>
          <w:sz w:val="24"/>
          <w:szCs w:val="24"/>
        </w:rPr>
        <w:t>M</w:t>
      </w:r>
      <w:r>
        <w:rPr>
          <w:sz w:val="24"/>
          <w:szCs w:val="24"/>
        </w:rPr>
        <w:t xml:space="preserve">-a, koji financiraju rashode za zaposlene, a isti su uvećani iz razloga što je došlo do povećanja </w:t>
      </w:r>
      <w:r w:rsidR="008408DF">
        <w:rPr>
          <w:sz w:val="24"/>
          <w:szCs w:val="24"/>
        </w:rPr>
        <w:t xml:space="preserve">plaća zaposlenika kroz novi Zakon o plaćama i primjenu novih koeficijenata za izračun plaća u javnim službama. </w:t>
      </w:r>
      <w:r>
        <w:rPr>
          <w:sz w:val="24"/>
          <w:szCs w:val="24"/>
        </w:rPr>
        <w:t xml:space="preserve"> Također, </w:t>
      </w:r>
      <w:r w:rsidR="008408DF">
        <w:rPr>
          <w:sz w:val="24"/>
          <w:szCs w:val="24"/>
        </w:rPr>
        <w:t xml:space="preserve">u odnosu na promatrano razdoblje prethodne godine došlo je do povećanja broja zaposlenih. </w:t>
      </w:r>
    </w:p>
    <w:p w14:paraId="2C723E2B" w14:textId="06C363D5" w:rsidR="00AE4509" w:rsidRDefault="000506FA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spomenutom kontu nalaze se i prihodi od strane Međimurske županije za razna natjecanja učenika, prihodi MZO</w:t>
      </w:r>
      <w:r w:rsidR="008408DF">
        <w:rPr>
          <w:sz w:val="24"/>
          <w:szCs w:val="24"/>
        </w:rPr>
        <w:t>M</w:t>
      </w:r>
      <w:r>
        <w:rPr>
          <w:sz w:val="24"/>
          <w:szCs w:val="24"/>
        </w:rPr>
        <w:t>-a za financiranje škole u prirodi za učenike romske nacionalne manjine, prihodi za financiranje obroka svim učenicima škole i sl. Sve navedeno također utječe na povećanje prihoda u odnosu na isto razdoblje 202</w:t>
      </w:r>
      <w:r w:rsidR="008408DF">
        <w:rPr>
          <w:sz w:val="24"/>
          <w:szCs w:val="24"/>
        </w:rPr>
        <w:t>3</w:t>
      </w:r>
      <w:r>
        <w:rPr>
          <w:sz w:val="24"/>
          <w:szCs w:val="24"/>
        </w:rPr>
        <w:t xml:space="preserve">. godine. </w:t>
      </w:r>
    </w:p>
    <w:p w14:paraId="10D9A957" w14:textId="77777777" w:rsidR="004A33EF" w:rsidRDefault="004A33EF" w:rsidP="00BE6993">
      <w:pPr>
        <w:spacing w:after="0"/>
        <w:jc w:val="both"/>
        <w:rPr>
          <w:sz w:val="24"/>
          <w:szCs w:val="24"/>
        </w:rPr>
      </w:pPr>
    </w:p>
    <w:p w14:paraId="14CBFDD8" w14:textId="70D6062E" w:rsidR="004A33EF" w:rsidRDefault="004A33EF" w:rsidP="00BE6993">
      <w:pPr>
        <w:spacing w:after="0"/>
        <w:jc w:val="both"/>
        <w:rPr>
          <w:sz w:val="24"/>
          <w:szCs w:val="24"/>
        </w:rPr>
      </w:pPr>
    </w:p>
    <w:tbl>
      <w:tblPr>
        <w:tblStyle w:val="Tablicareetke3-isticanje6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4A33EF" w14:paraId="662BF2C0" w14:textId="77777777" w:rsidTr="00157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14:paraId="79EB4A7A" w14:textId="77777777" w:rsidR="004A33EF" w:rsidRPr="00424FA6" w:rsidRDefault="004A33EF" w:rsidP="0015793F">
            <w:pPr>
              <w:jc w:val="center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lastRenderedPageBreak/>
              <w:t>CTO</w:t>
            </w:r>
          </w:p>
        </w:tc>
        <w:tc>
          <w:tcPr>
            <w:tcW w:w="3260" w:type="dxa"/>
          </w:tcPr>
          <w:p w14:paraId="529530BE" w14:textId="77777777" w:rsidR="004A33EF" w:rsidRPr="00424FA6" w:rsidRDefault="004A33EF" w:rsidP="0015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2023</w:t>
            </w:r>
          </w:p>
        </w:tc>
        <w:tc>
          <w:tcPr>
            <w:tcW w:w="3680" w:type="dxa"/>
          </w:tcPr>
          <w:p w14:paraId="407BBDC5" w14:textId="77777777" w:rsidR="004A33EF" w:rsidRPr="00424FA6" w:rsidRDefault="004A33EF" w:rsidP="0015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2024</w:t>
            </w:r>
          </w:p>
        </w:tc>
      </w:tr>
      <w:tr w:rsidR="004A33EF" w14:paraId="4715E1F7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0C94D4" w14:textId="77777777" w:rsidR="004A33EF" w:rsidRDefault="004A33EF" w:rsidP="0015793F">
            <w:r>
              <w:t>633</w:t>
            </w:r>
          </w:p>
        </w:tc>
        <w:tc>
          <w:tcPr>
            <w:tcW w:w="3260" w:type="dxa"/>
          </w:tcPr>
          <w:p w14:paraId="60B66420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6.894,41</w:t>
            </w:r>
          </w:p>
        </w:tc>
        <w:tc>
          <w:tcPr>
            <w:tcW w:w="3680" w:type="dxa"/>
          </w:tcPr>
          <w:p w14:paraId="502C1B08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</w:tr>
      <w:tr w:rsidR="004A33EF" w14:paraId="5A1C6242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8A9553" w14:textId="77777777" w:rsidR="004A33EF" w:rsidRDefault="004A33EF" w:rsidP="0015793F">
            <w:r>
              <w:t>636</w:t>
            </w:r>
          </w:p>
        </w:tc>
        <w:tc>
          <w:tcPr>
            <w:tcW w:w="3260" w:type="dxa"/>
          </w:tcPr>
          <w:p w14:paraId="388F6DC4" w14:textId="77777777" w:rsidR="004A33EF" w:rsidRDefault="004A33EF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1.823.047,16</w:t>
            </w:r>
          </w:p>
        </w:tc>
        <w:tc>
          <w:tcPr>
            <w:tcW w:w="3680" w:type="dxa"/>
          </w:tcPr>
          <w:p w14:paraId="7172BF28" w14:textId="77777777" w:rsidR="004A33EF" w:rsidRDefault="004A33EF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2.308.210,92</w:t>
            </w:r>
          </w:p>
        </w:tc>
      </w:tr>
      <w:tr w:rsidR="004A33EF" w14:paraId="0751412D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F25A37" w14:textId="77777777" w:rsidR="004A33EF" w:rsidRDefault="004A33EF" w:rsidP="0015793F">
            <w:r>
              <w:t>638</w:t>
            </w:r>
          </w:p>
        </w:tc>
        <w:tc>
          <w:tcPr>
            <w:tcW w:w="3260" w:type="dxa"/>
          </w:tcPr>
          <w:p w14:paraId="257BBA76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39.068,19</w:t>
            </w:r>
          </w:p>
        </w:tc>
        <w:tc>
          <w:tcPr>
            <w:tcW w:w="3680" w:type="dxa"/>
          </w:tcPr>
          <w:p w14:paraId="16AD097A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</w:tr>
      <w:tr w:rsidR="004A33EF" w14:paraId="0B607E18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33E0322" w14:textId="77777777" w:rsidR="004A33EF" w:rsidRDefault="004A33EF" w:rsidP="0015793F">
            <w:r>
              <w:t>639</w:t>
            </w:r>
          </w:p>
        </w:tc>
        <w:tc>
          <w:tcPr>
            <w:tcW w:w="3260" w:type="dxa"/>
          </w:tcPr>
          <w:p w14:paraId="0D0B1A81" w14:textId="77777777" w:rsidR="004A33EF" w:rsidRDefault="004A33EF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4.892,24</w:t>
            </w:r>
          </w:p>
        </w:tc>
        <w:tc>
          <w:tcPr>
            <w:tcW w:w="3680" w:type="dxa"/>
          </w:tcPr>
          <w:p w14:paraId="7E047098" w14:textId="77777777" w:rsidR="004A33EF" w:rsidRDefault="004A33EF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56.043,36</w:t>
            </w:r>
          </w:p>
        </w:tc>
      </w:tr>
      <w:tr w:rsidR="004A33EF" w14:paraId="4B8D21B6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D21066" w14:textId="77777777" w:rsidR="004A33EF" w:rsidRDefault="004A33EF" w:rsidP="0015793F">
            <w:r>
              <w:t>641</w:t>
            </w:r>
          </w:p>
        </w:tc>
        <w:tc>
          <w:tcPr>
            <w:tcW w:w="3260" w:type="dxa"/>
          </w:tcPr>
          <w:p w14:paraId="08CBDCF2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22,52</w:t>
            </w:r>
          </w:p>
        </w:tc>
        <w:tc>
          <w:tcPr>
            <w:tcW w:w="3680" w:type="dxa"/>
          </w:tcPr>
          <w:p w14:paraId="0FE7D2C2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40,32</w:t>
            </w:r>
          </w:p>
        </w:tc>
      </w:tr>
      <w:tr w:rsidR="004A33EF" w14:paraId="0B50F1B9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5316AB" w14:textId="77777777" w:rsidR="004A33EF" w:rsidRDefault="004A33EF" w:rsidP="0015793F">
            <w:r>
              <w:t>651</w:t>
            </w:r>
          </w:p>
        </w:tc>
        <w:tc>
          <w:tcPr>
            <w:tcW w:w="3260" w:type="dxa"/>
          </w:tcPr>
          <w:p w14:paraId="0E993F8B" w14:textId="77777777" w:rsidR="004A33EF" w:rsidRDefault="004A33EF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8.125,32</w:t>
            </w:r>
          </w:p>
        </w:tc>
        <w:tc>
          <w:tcPr>
            <w:tcW w:w="3680" w:type="dxa"/>
          </w:tcPr>
          <w:p w14:paraId="28276B6D" w14:textId="77777777" w:rsidR="004A33EF" w:rsidRDefault="004A33EF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5.908,00</w:t>
            </w:r>
          </w:p>
        </w:tc>
      </w:tr>
      <w:tr w:rsidR="004A33EF" w14:paraId="74D8D02A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5609F1" w14:textId="77777777" w:rsidR="004A33EF" w:rsidRDefault="004A33EF" w:rsidP="0015793F">
            <w:r>
              <w:t>661</w:t>
            </w:r>
          </w:p>
        </w:tc>
        <w:tc>
          <w:tcPr>
            <w:tcW w:w="3260" w:type="dxa"/>
          </w:tcPr>
          <w:p w14:paraId="6EC8442E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3680" w:type="dxa"/>
          </w:tcPr>
          <w:p w14:paraId="13EC8C8E" w14:textId="77777777" w:rsidR="004A33EF" w:rsidRDefault="004A33EF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500,00</w:t>
            </w:r>
          </w:p>
        </w:tc>
      </w:tr>
      <w:tr w:rsidR="004A33EF" w14:paraId="28A2C099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B6DE62" w14:textId="77777777" w:rsidR="004A33EF" w:rsidRDefault="004A33EF" w:rsidP="0015793F">
            <w:r>
              <w:t>671</w:t>
            </w:r>
          </w:p>
        </w:tc>
        <w:tc>
          <w:tcPr>
            <w:tcW w:w="3260" w:type="dxa"/>
          </w:tcPr>
          <w:p w14:paraId="4E7E2AA5" w14:textId="77777777" w:rsidR="004A33EF" w:rsidRDefault="004A33EF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112.020,63</w:t>
            </w:r>
          </w:p>
        </w:tc>
        <w:tc>
          <w:tcPr>
            <w:tcW w:w="3680" w:type="dxa"/>
          </w:tcPr>
          <w:p w14:paraId="5936DC00" w14:textId="77777777" w:rsidR="004A33EF" w:rsidRDefault="004A33EF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150.154,67</w:t>
            </w:r>
          </w:p>
        </w:tc>
      </w:tr>
    </w:tbl>
    <w:p w14:paraId="5DB8142F" w14:textId="77777777" w:rsidR="004A33EF" w:rsidRDefault="004A33EF" w:rsidP="00BE6993">
      <w:pPr>
        <w:spacing w:after="0"/>
        <w:jc w:val="both"/>
        <w:rPr>
          <w:sz w:val="24"/>
          <w:szCs w:val="24"/>
        </w:rPr>
      </w:pPr>
    </w:p>
    <w:p w14:paraId="1614CF45" w14:textId="3760403E" w:rsidR="00AE4509" w:rsidRDefault="00AE4509" w:rsidP="00BE6993">
      <w:pPr>
        <w:spacing w:after="0"/>
        <w:jc w:val="both"/>
        <w:rPr>
          <w:sz w:val="24"/>
          <w:szCs w:val="24"/>
        </w:rPr>
      </w:pPr>
    </w:p>
    <w:p w14:paraId="0065C855" w14:textId="2EA2B302" w:rsidR="00137547" w:rsidRDefault="00137547" w:rsidP="00BE69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kontu 671 evidentirani su prihodi iz nadležnog proračuna, Grada Čakovca</w:t>
      </w:r>
      <w:r w:rsidR="00FC4BCB">
        <w:rPr>
          <w:sz w:val="24"/>
          <w:szCs w:val="24"/>
        </w:rPr>
        <w:t>,</w:t>
      </w:r>
      <w:r>
        <w:rPr>
          <w:sz w:val="24"/>
          <w:szCs w:val="24"/>
        </w:rPr>
        <w:t xml:space="preserve"> koji uz materijalne troškove škole financira i stručnjaka za e-tehničku podršku, dio plaće za pomoćnike u nastavi</w:t>
      </w:r>
      <w:r w:rsidR="008408DF">
        <w:rPr>
          <w:sz w:val="24"/>
          <w:szCs w:val="24"/>
        </w:rPr>
        <w:t xml:space="preserve"> zaposlene kroz projekt EU, </w:t>
      </w:r>
      <w:r>
        <w:rPr>
          <w:sz w:val="24"/>
          <w:szCs w:val="24"/>
        </w:rPr>
        <w:t xml:space="preserve"> </w:t>
      </w:r>
      <w:r w:rsidR="008408DF">
        <w:rPr>
          <w:sz w:val="24"/>
          <w:szCs w:val="24"/>
        </w:rPr>
        <w:t xml:space="preserve">te dio za plaće </w:t>
      </w:r>
      <w:r w:rsidR="004A33EF">
        <w:rPr>
          <w:sz w:val="24"/>
          <w:szCs w:val="24"/>
        </w:rPr>
        <w:t>dodatne pomoćnike</w:t>
      </w:r>
      <w:r w:rsidR="008408DF">
        <w:rPr>
          <w:sz w:val="24"/>
          <w:szCs w:val="24"/>
        </w:rPr>
        <w:t xml:space="preserve"> u nastavi koje u stopostotnom iznosu financira Grad Čakovec</w:t>
      </w:r>
      <w:r w:rsidR="004A33EF">
        <w:rPr>
          <w:sz w:val="24"/>
          <w:szCs w:val="24"/>
        </w:rPr>
        <w:t xml:space="preserve">, čiji pak se broj povećao od rujna 2024.godine. </w:t>
      </w:r>
      <w:r w:rsidR="008408DF">
        <w:rPr>
          <w:sz w:val="24"/>
          <w:szCs w:val="24"/>
        </w:rPr>
        <w:t xml:space="preserve"> Od rujna 2023. Grad Čakovec također financira i provođenje građanskog odgoja u OŠ </w:t>
      </w:r>
      <w:proofErr w:type="spellStart"/>
      <w:r w:rsidR="008408DF">
        <w:rPr>
          <w:sz w:val="24"/>
          <w:szCs w:val="24"/>
        </w:rPr>
        <w:t>Kuršanec</w:t>
      </w:r>
      <w:proofErr w:type="spellEnd"/>
      <w:r w:rsidR="004A33EF">
        <w:rPr>
          <w:sz w:val="24"/>
          <w:szCs w:val="24"/>
        </w:rPr>
        <w:t xml:space="preserve">, pa je tako na </w:t>
      </w:r>
      <w:proofErr w:type="spellStart"/>
      <w:r w:rsidR="004A33EF">
        <w:rPr>
          <w:sz w:val="24"/>
          <w:szCs w:val="24"/>
        </w:rPr>
        <w:t>cto</w:t>
      </w:r>
      <w:proofErr w:type="spellEnd"/>
      <w:r w:rsidR="004A33EF">
        <w:rPr>
          <w:sz w:val="24"/>
          <w:szCs w:val="24"/>
        </w:rPr>
        <w:t xml:space="preserve"> 671 evidentiran i prihod koji se odnosi na građanski odgoj 2024.</w:t>
      </w:r>
    </w:p>
    <w:p w14:paraId="5AD82AB8" w14:textId="026F7480" w:rsidR="00DC18D8" w:rsidRDefault="00DC18D8" w:rsidP="00BE6993">
      <w:pPr>
        <w:spacing w:after="0"/>
        <w:jc w:val="both"/>
        <w:rPr>
          <w:sz w:val="24"/>
          <w:szCs w:val="24"/>
        </w:rPr>
      </w:pPr>
    </w:p>
    <w:p w14:paraId="0D5D259F" w14:textId="017F06C8" w:rsidR="004A33EF" w:rsidRDefault="004A33EF" w:rsidP="007633BC">
      <w:pPr>
        <w:spacing w:after="0"/>
        <w:jc w:val="both"/>
        <w:rPr>
          <w:sz w:val="24"/>
          <w:szCs w:val="24"/>
        </w:rPr>
      </w:pPr>
    </w:p>
    <w:p w14:paraId="0133C588" w14:textId="4DC61A5E" w:rsidR="00E8042C" w:rsidRDefault="00E8042C" w:rsidP="00763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Rashodi škole također su uvećani u odnosu na 2023. godinu, baš kao i prihodi, radi povećanja rashoda za plaće djelatnika 311, čime su povećani bruto rashodi kao i  rashodi doprinosa na plaću npr. za zdravstveno osiguranje,313.</w:t>
      </w:r>
    </w:p>
    <w:p w14:paraId="7317C21D" w14:textId="08C12EA7" w:rsidR="00E8042C" w:rsidRDefault="00E8042C" w:rsidP="007633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Znatnije su uvećani i rashodi za materijal i energiju ponajviše zbog konstantnih rasta cijena svih dobara i usluga, ponajviše namirnica koje se koriste za prehranu učenika koja se financira iz državnog proračuna, 322. Također uvećani su rashodi za zdravstvene usluge, </w:t>
      </w:r>
      <w:proofErr w:type="spellStart"/>
      <w:r>
        <w:rPr>
          <w:sz w:val="24"/>
          <w:szCs w:val="24"/>
        </w:rPr>
        <w:t>cto</w:t>
      </w:r>
      <w:proofErr w:type="spellEnd"/>
      <w:r>
        <w:rPr>
          <w:sz w:val="24"/>
          <w:szCs w:val="24"/>
        </w:rPr>
        <w:t xml:space="preserve"> 3236, radi povećanja iznosa za zdravstvene preglede djelatnika putem Temeljnog kolektivnog ugovora za zaposlenike u javnim službama. </w:t>
      </w:r>
      <w:proofErr w:type="spellStart"/>
      <w:r>
        <w:rPr>
          <w:sz w:val="24"/>
          <w:szCs w:val="24"/>
        </w:rPr>
        <w:t>Cto</w:t>
      </w:r>
      <w:proofErr w:type="spellEnd"/>
      <w:r>
        <w:rPr>
          <w:sz w:val="24"/>
          <w:szCs w:val="24"/>
        </w:rPr>
        <w:t xml:space="preserve"> 327 odnosi se na radne udžbenike i radne bilježnice učenika koje se financiraju djelom iz državnog proračuna, a djelom iz proračuna Grada Čakovca i na istoj su razini kao i 2023. godine. </w:t>
      </w:r>
    </w:p>
    <w:p w14:paraId="4339CC44" w14:textId="1B5E1683" w:rsidR="00881AA9" w:rsidRDefault="00881AA9" w:rsidP="007633BC">
      <w:pPr>
        <w:spacing w:after="0"/>
        <w:jc w:val="both"/>
        <w:rPr>
          <w:sz w:val="24"/>
          <w:szCs w:val="24"/>
        </w:rPr>
      </w:pPr>
    </w:p>
    <w:p w14:paraId="03924FD9" w14:textId="1F0DEA69" w:rsidR="00881AA9" w:rsidRDefault="00881AA9" w:rsidP="007633BC">
      <w:pPr>
        <w:spacing w:after="0"/>
        <w:jc w:val="both"/>
        <w:rPr>
          <w:sz w:val="24"/>
          <w:szCs w:val="24"/>
        </w:rPr>
      </w:pPr>
    </w:p>
    <w:tbl>
      <w:tblPr>
        <w:tblStyle w:val="Tablicareetke3-isticanje6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881AA9" w:rsidRPr="00424FA6" w14:paraId="5E3CF806" w14:textId="77777777" w:rsidTr="00157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14:paraId="6E1FAA36" w14:textId="77777777" w:rsidR="00881AA9" w:rsidRPr="00424FA6" w:rsidRDefault="00881AA9" w:rsidP="0015793F">
            <w:pPr>
              <w:jc w:val="center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CTO</w:t>
            </w:r>
          </w:p>
        </w:tc>
        <w:tc>
          <w:tcPr>
            <w:tcW w:w="3260" w:type="dxa"/>
          </w:tcPr>
          <w:p w14:paraId="4FD1C9C9" w14:textId="77777777" w:rsidR="00881AA9" w:rsidRPr="00424FA6" w:rsidRDefault="00881AA9" w:rsidP="0015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2023</w:t>
            </w:r>
          </w:p>
        </w:tc>
        <w:tc>
          <w:tcPr>
            <w:tcW w:w="3680" w:type="dxa"/>
          </w:tcPr>
          <w:p w14:paraId="3E36FAB6" w14:textId="77777777" w:rsidR="00881AA9" w:rsidRPr="00424FA6" w:rsidRDefault="00881AA9" w:rsidP="0015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424FA6">
              <w:rPr>
                <w:color w:val="385623" w:themeColor="accent6" w:themeShade="80"/>
              </w:rPr>
              <w:t>2024</w:t>
            </w:r>
          </w:p>
        </w:tc>
      </w:tr>
      <w:tr w:rsidR="00881AA9" w14:paraId="5F738F9B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03EB33" w14:textId="77777777" w:rsidR="00881AA9" w:rsidRDefault="00881AA9" w:rsidP="0015793F">
            <w:r>
              <w:t>311</w:t>
            </w:r>
          </w:p>
        </w:tc>
        <w:tc>
          <w:tcPr>
            <w:tcW w:w="3260" w:type="dxa"/>
          </w:tcPr>
          <w:p w14:paraId="0562E862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1.346.369,51</w:t>
            </w:r>
          </w:p>
        </w:tc>
        <w:tc>
          <w:tcPr>
            <w:tcW w:w="3680" w:type="dxa"/>
          </w:tcPr>
          <w:p w14:paraId="3E79BDCF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1.839.356,02</w:t>
            </w:r>
          </w:p>
        </w:tc>
      </w:tr>
      <w:tr w:rsidR="00881AA9" w14:paraId="1D1D1CE0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590C3D" w14:textId="77777777" w:rsidR="00881AA9" w:rsidRDefault="00881AA9" w:rsidP="0015793F">
            <w:r>
              <w:t>312</w:t>
            </w:r>
          </w:p>
        </w:tc>
        <w:tc>
          <w:tcPr>
            <w:tcW w:w="3260" w:type="dxa"/>
          </w:tcPr>
          <w:p w14:paraId="463785AF" w14:textId="77777777" w:rsidR="00881AA9" w:rsidRDefault="00881AA9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72.032,37</w:t>
            </w:r>
          </w:p>
        </w:tc>
        <w:tc>
          <w:tcPr>
            <w:tcW w:w="3680" w:type="dxa"/>
          </w:tcPr>
          <w:p w14:paraId="5B10586C" w14:textId="77777777" w:rsidR="00881AA9" w:rsidRDefault="00881AA9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68.771,61</w:t>
            </w:r>
          </w:p>
        </w:tc>
      </w:tr>
      <w:tr w:rsidR="00881AA9" w14:paraId="1F68FD9C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E97799" w14:textId="77777777" w:rsidR="00881AA9" w:rsidRDefault="00881AA9" w:rsidP="0015793F">
            <w:r>
              <w:t>313</w:t>
            </w:r>
          </w:p>
        </w:tc>
        <w:tc>
          <w:tcPr>
            <w:tcW w:w="3260" w:type="dxa"/>
          </w:tcPr>
          <w:p w14:paraId="179DE13B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216.104,34</w:t>
            </w:r>
          </w:p>
        </w:tc>
        <w:tc>
          <w:tcPr>
            <w:tcW w:w="3680" w:type="dxa"/>
          </w:tcPr>
          <w:p w14:paraId="1ED65433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288.275,02</w:t>
            </w:r>
          </w:p>
        </w:tc>
      </w:tr>
      <w:tr w:rsidR="00881AA9" w14:paraId="2ADDA38C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D61A09" w14:textId="77777777" w:rsidR="00881AA9" w:rsidRDefault="00881AA9" w:rsidP="0015793F">
            <w:r>
              <w:t>321</w:t>
            </w:r>
          </w:p>
        </w:tc>
        <w:tc>
          <w:tcPr>
            <w:tcW w:w="3260" w:type="dxa"/>
          </w:tcPr>
          <w:p w14:paraId="45B18A9F" w14:textId="77777777" w:rsidR="00881AA9" w:rsidRDefault="00881AA9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130.115,54</w:t>
            </w:r>
          </w:p>
        </w:tc>
        <w:tc>
          <w:tcPr>
            <w:tcW w:w="3680" w:type="dxa"/>
          </w:tcPr>
          <w:p w14:paraId="471FD28F" w14:textId="77777777" w:rsidR="00881AA9" w:rsidRDefault="00881AA9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136.983,44</w:t>
            </w:r>
          </w:p>
        </w:tc>
      </w:tr>
      <w:tr w:rsidR="00881AA9" w14:paraId="7607FD10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D80568" w14:textId="77777777" w:rsidR="00881AA9" w:rsidRDefault="00881AA9" w:rsidP="0015793F">
            <w:r>
              <w:t>322</w:t>
            </w:r>
          </w:p>
        </w:tc>
        <w:tc>
          <w:tcPr>
            <w:tcW w:w="3260" w:type="dxa"/>
          </w:tcPr>
          <w:p w14:paraId="61542E90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86.753,38</w:t>
            </w:r>
          </w:p>
        </w:tc>
        <w:tc>
          <w:tcPr>
            <w:tcW w:w="3680" w:type="dxa"/>
          </w:tcPr>
          <w:p w14:paraId="758B2499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112.293,64</w:t>
            </w:r>
          </w:p>
        </w:tc>
      </w:tr>
      <w:tr w:rsidR="00881AA9" w14:paraId="77E70C70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8435D7" w14:textId="77777777" w:rsidR="00881AA9" w:rsidRDefault="00881AA9" w:rsidP="0015793F">
            <w:r>
              <w:t>323</w:t>
            </w:r>
          </w:p>
        </w:tc>
        <w:tc>
          <w:tcPr>
            <w:tcW w:w="3260" w:type="dxa"/>
          </w:tcPr>
          <w:p w14:paraId="0A1249A8" w14:textId="77777777" w:rsidR="00881AA9" w:rsidRDefault="00881AA9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43.335,02</w:t>
            </w:r>
          </w:p>
        </w:tc>
        <w:tc>
          <w:tcPr>
            <w:tcW w:w="3680" w:type="dxa"/>
          </w:tcPr>
          <w:p w14:paraId="7AA06F9E" w14:textId="77777777" w:rsidR="00881AA9" w:rsidRDefault="00881AA9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44.479,67</w:t>
            </w:r>
          </w:p>
        </w:tc>
      </w:tr>
      <w:tr w:rsidR="00881AA9" w14:paraId="4E4448B0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D51141" w14:textId="77777777" w:rsidR="00881AA9" w:rsidRDefault="00881AA9" w:rsidP="0015793F">
            <w:r>
              <w:t>329</w:t>
            </w:r>
          </w:p>
        </w:tc>
        <w:tc>
          <w:tcPr>
            <w:tcW w:w="3260" w:type="dxa"/>
          </w:tcPr>
          <w:p w14:paraId="0A03F276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6.724,98</w:t>
            </w:r>
          </w:p>
        </w:tc>
        <w:tc>
          <w:tcPr>
            <w:tcW w:w="3680" w:type="dxa"/>
          </w:tcPr>
          <w:p w14:paraId="5479587B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9.229,13</w:t>
            </w:r>
          </w:p>
        </w:tc>
      </w:tr>
      <w:tr w:rsidR="00881AA9" w14:paraId="323E9951" w14:textId="77777777" w:rsidTr="00157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A57842" w14:textId="77777777" w:rsidR="00881AA9" w:rsidRDefault="00881AA9" w:rsidP="0015793F">
            <w:r>
              <w:t>343</w:t>
            </w:r>
          </w:p>
        </w:tc>
        <w:tc>
          <w:tcPr>
            <w:tcW w:w="3260" w:type="dxa"/>
          </w:tcPr>
          <w:p w14:paraId="63033A2A" w14:textId="77777777" w:rsidR="00881AA9" w:rsidRDefault="00881AA9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500,00</w:t>
            </w:r>
          </w:p>
        </w:tc>
        <w:tc>
          <w:tcPr>
            <w:tcW w:w="3680" w:type="dxa"/>
          </w:tcPr>
          <w:p w14:paraId="0DDB5452" w14:textId="77777777" w:rsidR="00881AA9" w:rsidRDefault="00881AA9" w:rsidP="00157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410,28</w:t>
            </w:r>
          </w:p>
        </w:tc>
      </w:tr>
      <w:tr w:rsidR="00881AA9" w14:paraId="458C40BC" w14:textId="77777777" w:rsidTr="0015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8C95DD" w14:textId="77777777" w:rsidR="00881AA9" w:rsidRDefault="00881AA9" w:rsidP="0015793F">
            <w:r>
              <w:t>372</w:t>
            </w:r>
          </w:p>
        </w:tc>
        <w:tc>
          <w:tcPr>
            <w:tcW w:w="3260" w:type="dxa"/>
          </w:tcPr>
          <w:p w14:paraId="7A5E062A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55.473,35</w:t>
            </w:r>
          </w:p>
        </w:tc>
        <w:tc>
          <w:tcPr>
            <w:tcW w:w="3680" w:type="dxa"/>
          </w:tcPr>
          <w:p w14:paraId="041F7305" w14:textId="77777777" w:rsidR="00881AA9" w:rsidRDefault="00881AA9" w:rsidP="00157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54.657,23</w:t>
            </w:r>
          </w:p>
        </w:tc>
      </w:tr>
    </w:tbl>
    <w:p w14:paraId="73E688EC" w14:textId="77777777" w:rsidR="00881AA9" w:rsidRDefault="00881AA9" w:rsidP="007633BC">
      <w:pPr>
        <w:spacing w:after="0"/>
        <w:jc w:val="both"/>
        <w:rPr>
          <w:sz w:val="24"/>
          <w:szCs w:val="24"/>
        </w:rPr>
      </w:pPr>
    </w:p>
    <w:p w14:paraId="5C7077C1" w14:textId="37573A36" w:rsidR="00DC18D8" w:rsidRDefault="00DC18D8" w:rsidP="00882E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8DFA18" w14:textId="77777777" w:rsidR="00E8042C" w:rsidRDefault="00E8042C" w:rsidP="00E804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Preneseni rezultat iz 2023. godine u iznosu od 40.017,32. eura umanjen je za 13.690,19 eura i sada iznosi 26.327,13. a  odnosi se na povrat neiskorištenih sredstava za potrebe prehrane učenika za 2023.  u Državni proračun.</w:t>
      </w:r>
    </w:p>
    <w:p w14:paraId="2FA07D2B" w14:textId="7A5EFD7D" w:rsidR="00C96275" w:rsidRDefault="00137547" w:rsidP="00137547">
      <w:pPr>
        <w:spacing w:after="0"/>
        <w:jc w:val="both"/>
        <w:rPr>
          <w:sz w:val="24"/>
          <w:szCs w:val="24"/>
          <w:u w:val="single"/>
        </w:rPr>
      </w:pPr>
      <w:r w:rsidRPr="0042515C">
        <w:rPr>
          <w:sz w:val="24"/>
          <w:szCs w:val="24"/>
          <w:u w:val="single"/>
        </w:rPr>
        <w:lastRenderedPageBreak/>
        <w:t xml:space="preserve">OBRAZAC </w:t>
      </w:r>
      <w:r w:rsidR="004A33EF">
        <w:rPr>
          <w:sz w:val="24"/>
          <w:szCs w:val="24"/>
          <w:u w:val="single"/>
        </w:rPr>
        <w:t>BILANCA</w:t>
      </w:r>
    </w:p>
    <w:p w14:paraId="292FB0C1" w14:textId="259C97D5" w:rsidR="00EA6ABE" w:rsidRDefault="00EA6ABE" w:rsidP="00137547">
      <w:pPr>
        <w:spacing w:after="0"/>
        <w:jc w:val="both"/>
        <w:rPr>
          <w:sz w:val="24"/>
          <w:szCs w:val="24"/>
          <w:u w:val="single"/>
        </w:rPr>
      </w:pPr>
    </w:p>
    <w:p w14:paraId="0379974E" w14:textId="6AAE4567" w:rsidR="00EA6ABE" w:rsidRDefault="00EA6ABE" w:rsidP="00137547">
      <w:pPr>
        <w:spacing w:after="0"/>
        <w:jc w:val="both"/>
        <w:rPr>
          <w:sz w:val="24"/>
          <w:szCs w:val="24"/>
          <w:u w:val="single"/>
        </w:rPr>
      </w:pPr>
    </w:p>
    <w:p w14:paraId="3ECB7D83" w14:textId="127A26C7" w:rsidR="00EA6ABE" w:rsidRDefault="00EA6ABE" w:rsidP="00137547">
      <w:pPr>
        <w:spacing w:after="0"/>
        <w:jc w:val="both"/>
        <w:rPr>
          <w:sz w:val="24"/>
          <w:szCs w:val="24"/>
        </w:rPr>
      </w:pPr>
      <w:r w:rsidRPr="00EA6ABE">
        <w:rPr>
          <w:sz w:val="24"/>
          <w:szCs w:val="24"/>
        </w:rPr>
        <w:t xml:space="preserve">Obrazac </w:t>
      </w:r>
      <w:r>
        <w:rPr>
          <w:sz w:val="24"/>
          <w:szCs w:val="24"/>
        </w:rPr>
        <w:t xml:space="preserve">bilance prikazuje nefinancijsku imovinu škole te ulaganja u nefinancijsku imovinu kroz 2024. godinu. U 2024. godini škola je vršila nabavu udžbenika i knjiga za opremanje školske knjižnice koji su evidentirani na klasi 0. Također, osnivač škole, Grad Čakovec izvršio je ulaganja u zgradu škole nabavom i instalacijom vanjskih metalnih žaluzina te nabavom novih računalnih uređaja i projektora za opremanje učionica škole, što je evidentirano kao osnovno sredstvo na </w:t>
      </w:r>
      <w:proofErr w:type="spellStart"/>
      <w:r>
        <w:rPr>
          <w:sz w:val="24"/>
          <w:szCs w:val="24"/>
        </w:rPr>
        <w:t>cto</w:t>
      </w:r>
      <w:proofErr w:type="spellEnd"/>
      <w:r>
        <w:rPr>
          <w:sz w:val="24"/>
          <w:szCs w:val="24"/>
        </w:rPr>
        <w:t xml:space="preserve"> 0.</w:t>
      </w:r>
      <w:r w:rsidR="005773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Škola je također vršila nabavu sitnog inventara kao što su didaktička i informatička sredstva za posebne razredne odjele, što financira MZOM, te nabavu sportske opreme financirane iz jednokratne donacije školi. </w:t>
      </w:r>
      <w:r w:rsidR="005773A1">
        <w:rPr>
          <w:sz w:val="24"/>
          <w:szCs w:val="24"/>
        </w:rPr>
        <w:t xml:space="preserve"> Također izvršeno je knjiženje amortizacije, čime je smanjena vrijednost starije imovine. </w:t>
      </w:r>
    </w:p>
    <w:p w14:paraId="67627A09" w14:textId="47F08E8D" w:rsidR="005773A1" w:rsidRDefault="005773A1" w:rsidP="00137547">
      <w:pPr>
        <w:spacing w:after="0"/>
        <w:jc w:val="both"/>
        <w:rPr>
          <w:sz w:val="24"/>
          <w:szCs w:val="24"/>
        </w:rPr>
      </w:pPr>
    </w:p>
    <w:p w14:paraId="7299848C" w14:textId="6EF04F44" w:rsidR="005773A1" w:rsidRDefault="005773A1" w:rsidP="001375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dan 31. 12.2024. saldo žiro računa škole iznosi 44.562,01 euro , dok saldo blagajne iznosi 7,36 eura.</w:t>
      </w:r>
    </w:p>
    <w:p w14:paraId="431C5FFF" w14:textId="77777777" w:rsidR="00EA6ABE" w:rsidRPr="00EA6ABE" w:rsidRDefault="00EA6ABE" w:rsidP="00137547">
      <w:pPr>
        <w:spacing w:after="0"/>
        <w:jc w:val="both"/>
        <w:rPr>
          <w:sz w:val="24"/>
          <w:szCs w:val="24"/>
        </w:rPr>
      </w:pPr>
    </w:p>
    <w:p w14:paraId="141DDD2A" w14:textId="77777777" w:rsidR="005773A1" w:rsidRDefault="005773A1" w:rsidP="005773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Preneseni rezultat iz 2023. godine u iznosu od 40.017,32. eura umanjen je za 13.690,19 eura i sada iznosi 26.327,13. a  odnosi se na povrat neiskorištenih sredstava za potrebe prehrane učenika za 2023.  u Državni proračun.</w:t>
      </w:r>
    </w:p>
    <w:p w14:paraId="0FBB6F6B" w14:textId="24AE0828" w:rsidR="00E15619" w:rsidRDefault="00E15619">
      <w:pPr>
        <w:rPr>
          <w:sz w:val="24"/>
          <w:szCs w:val="24"/>
          <w:u w:val="single"/>
        </w:rPr>
      </w:pPr>
    </w:p>
    <w:p w14:paraId="79D2993F" w14:textId="49A9DE55" w:rsidR="00E15619" w:rsidRDefault="00E15619" w:rsidP="00E15619">
      <w:pPr>
        <w:spacing w:after="0"/>
        <w:jc w:val="both"/>
        <w:rPr>
          <w:sz w:val="24"/>
          <w:szCs w:val="24"/>
        </w:rPr>
      </w:pPr>
      <w:r w:rsidRPr="00DA40B8">
        <w:rPr>
          <w:sz w:val="24"/>
          <w:szCs w:val="24"/>
        </w:rPr>
        <w:t>Prema članku 82. Pravilnika o proračunskom računovodstvu izvršena je obvezna korekcija rezultata.</w:t>
      </w:r>
    </w:p>
    <w:p w14:paraId="14C3311B" w14:textId="1F3FA490" w:rsidR="009B3E5E" w:rsidRDefault="009B3E5E" w:rsidP="00E15619">
      <w:pPr>
        <w:spacing w:after="0"/>
        <w:jc w:val="both"/>
        <w:rPr>
          <w:sz w:val="24"/>
          <w:szCs w:val="24"/>
        </w:rPr>
      </w:pPr>
    </w:p>
    <w:p w14:paraId="6798F44A" w14:textId="77777777" w:rsidR="009B3E5E" w:rsidRPr="00DA40B8" w:rsidRDefault="009B3E5E" w:rsidP="00E15619">
      <w:pPr>
        <w:spacing w:after="0"/>
        <w:jc w:val="both"/>
        <w:rPr>
          <w:sz w:val="24"/>
          <w:szCs w:val="24"/>
        </w:rPr>
      </w:pPr>
    </w:p>
    <w:p w14:paraId="356D63D6" w14:textId="77777777" w:rsidR="009B3E5E" w:rsidRPr="00DA40B8" w:rsidRDefault="009B3E5E" w:rsidP="009B3E5E">
      <w:pPr>
        <w:spacing w:after="0"/>
        <w:jc w:val="both"/>
        <w:rPr>
          <w:sz w:val="24"/>
          <w:szCs w:val="24"/>
          <w:u w:val="single"/>
        </w:rPr>
      </w:pPr>
      <w:r w:rsidRPr="00DA40B8">
        <w:rPr>
          <w:sz w:val="24"/>
          <w:szCs w:val="24"/>
          <w:u w:val="single"/>
        </w:rPr>
        <w:t>OBRAZAC RAS – FUNKCIJSKI</w:t>
      </w:r>
    </w:p>
    <w:p w14:paraId="409BC609" w14:textId="77777777" w:rsidR="009B3E5E" w:rsidRPr="00DA40B8" w:rsidRDefault="009B3E5E" w:rsidP="009B3E5E">
      <w:pPr>
        <w:spacing w:after="0"/>
        <w:jc w:val="both"/>
        <w:rPr>
          <w:sz w:val="24"/>
          <w:szCs w:val="24"/>
          <w:u w:val="single"/>
        </w:rPr>
      </w:pPr>
    </w:p>
    <w:p w14:paraId="33091113" w14:textId="70ADD71E" w:rsidR="009B3E5E" w:rsidRPr="00DA40B8" w:rsidRDefault="009B3E5E" w:rsidP="009B3E5E">
      <w:pPr>
        <w:spacing w:after="0"/>
        <w:jc w:val="both"/>
        <w:rPr>
          <w:sz w:val="24"/>
          <w:szCs w:val="24"/>
        </w:rPr>
      </w:pPr>
      <w:r w:rsidRPr="00DA40B8">
        <w:rPr>
          <w:sz w:val="24"/>
          <w:szCs w:val="24"/>
        </w:rPr>
        <w:t>Izvještaj o rashodima prema funkcijskoj klasifikaciji prikazuje ukupne rashode škole u 202</w:t>
      </w:r>
      <w:r w:rsidR="00D77A40">
        <w:rPr>
          <w:sz w:val="24"/>
          <w:szCs w:val="24"/>
        </w:rPr>
        <w:t>4</w:t>
      </w:r>
      <w:r w:rsidRPr="00DA40B8">
        <w:rPr>
          <w:sz w:val="24"/>
          <w:szCs w:val="24"/>
        </w:rPr>
        <w:t xml:space="preserve">. godini, raspoređene prema funkcijskoj klasifikaciji dodatnih usluga u obrazovanju, što podrazumijeva rashode za potrebe školske kuhinje u iznosu od </w:t>
      </w:r>
      <w:r w:rsidR="00D77A40">
        <w:rPr>
          <w:sz w:val="24"/>
          <w:szCs w:val="24"/>
        </w:rPr>
        <w:t>72.793,01</w:t>
      </w:r>
      <w:r w:rsidRPr="00DA40B8">
        <w:rPr>
          <w:sz w:val="24"/>
          <w:szCs w:val="24"/>
        </w:rPr>
        <w:t xml:space="preserve"> i ostale rashode škole. U odnosu na 202</w:t>
      </w:r>
      <w:r w:rsidR="00D77A40">
        <w:rPr>
          <w:sz w:val="24"/>
          <w:szCs w:val="24"/>
        </w:rPr>
        <w:t>3</w:t>
      </w:r>
      <w:r w:rsidRPr="00DA40B8">
        <w:rPr>
          <w:sz w:val="24"/>
          <w:szCs w:val="24"/>
        </w:rPr>
        <w:t xml:space="preserve">. godinu rashodi za potrebe školske kuhinje uvećani su radi </w:t>
      </w:r>
      <w:r w:rsidR="00D77A40">
        <w:rPr>
          <w:sz w:val="24"/>
          <w:szCs w:val="24"/>
        </w:rPr>
        <w:t xml:space="preserve">povećanja </w:t>
      </w:r>
      <w:r w:rsidRPr="00DA40B8">
        <w:rPr>
          <w:sz w:val="24"/>
          <w:szCs w:val="24"/>
        </w:rPr>
        <w:t xml:space="preserve">prihoda za školske obroke. </w:t>
      </w:r>
    </w:p>
    <w:p w14:paraId="7DE0DC84" w14:textId="77777777" w:rsidR="009B3E5E" w:rsidRPr="00DA40B8" w:rsidRDefault="009B3E5E" w:rsidP="009B3E5E">
      <w:pPr>
        <w:spacing w:after="0"/>
        <w:jc w:val="both"/>
        <w:rPr>
          <w:sz w:val="24"/>
          <w:szCs w:val="24"/>
        </w:rPr>
      </w:pPr>
    </w:p>
    <w:p w14:paraId="3E297177" w14:textId="77777777" w:rsidR="009B3E5E" w:rsidRDefault="009B3E5E" w:rsidP="009B3E5E">
      <w:pPr>
        <w:spacing w:after="0"/>
        <w:jc w:val="both"/>
        <w:rPr>
          <w:sz w:val="24"/>
          <w:szCs w:val="24"/>
          <w:u w:val="single"/>
        </w:rPr>
      </w:pPr>
    </w:p>
    <w:p w14:paraId="56F2A7D6" w14:textId="77777777" w:rsidR="009B3E5E" w:rsidRDefault="009B3E5E" w:rsidP="009B3E5E">
      <w:pPr>
        <w:spacing w:after="0"/>
        <w:jc w:val="both"/>
        <w:rPr>
          <w:sz w:val="24"/>
          <w:szCs w:val="24"/>
          <w:u w:val="single"/>
        </w:rPr>
      </w:pPr>
    </w:p>
    <w:p w14:paraId="361DB321" w14:textId="77777777" w:rsidR="009B3E5E" w:rsidRPr="00DA40B8" w:rsidRDefault="009B3E5E" w:rsidP="009B3E5E">
      <w:pPr>
        <w:spacing w:after="0"/>
        <w:jc w:val="both"/>
        <w:rPr>
          <w:sz w:val="24"/>
          <w:szCs w:val="24"/>
          <w:u w:val="single"/>
        </w:rPr>
      </w:pPr>
      <w:r w:rsidRPr="00DA40B8">
        <w:rPr>
          <w:sz w:val="24"/>
          <w:szCs w:val="24"/>
          <w:u w:val="single"/>
        </w:rPr>
        <w:t>OBRAZAC P- VRIO</w:t>
      </w:r>
    </w:p>
    <w:p w14:paraId="2C6DD287" w14:textId="77777777" w:rsidR="009B3E5E" w:rsidRPr="00DA40B8" w:rsidRDefault="009B3E5E" w:rsidP="009B3E5E">
      <w:pPr>
        <w:spacing w:after="0"/>
        <w:jc w:val="both"/>
        <w:rPr>
          <w:sz w:val="24"/>
          <w:szCs w:val="24"/>
        </w:rPr>
      </w:pPr>
    </w:p>
    <w:p w14:paraId="0C326135" w14:textId="6A028D4C" w:rsidR="009B3E5E" w:rsidRPr="008147B1" w:rsidRDefault="009B3E5E" w:rsidP="009B3E5E">
      <w:pPr>
        <w:spacing w:after="0"/>
        <w:jc w:val="both"/>
        <w:rPr>
          <w:color w:val="000000" w:themeColor="text1"/>
          <w:sz w:val="24"/>
          <w:szCs w:val="24"/>
        </w:rPr>
      </w:pPr>
      <w:r w:rsidRPr="008147B1">
        <w:rPr>
          <w:color w:val="000000" w:themeColor="text1"/>
          <w:sz w:val="24"/>
          <w:szCs w:val="24"/>
        </w:rPr>
        <w:t>Izvještaj o promjenama u vrijednosti  i obujmu imovine i obveza sadrži podatak o ulaganjima, u najvećoj mjeri, osnivača, Grada Čakovca u imovinu škole u 202</w:t>
      </w:r>
      <w:r w:rsidR="001C60D8" w:rsidRPr="008147B1">
        <w:rPr>
          <w:color w:val="000000" w:themeColor="text1"/>
          <w:sz w:val="24"/>
          <w:szCs w:val="24"/>
        </w:rPr>
        <w:t>4</w:t>
      </w:r>
      <w:r w:rsidRPr="008147B1">
        <w:rPr>
          <w:color w:val="000000" w:themeColor="text1"/>
          <w:sz w:val="24"/>
          <w:szCs w:val="24"/>
        </w:rPr>
        <w:t>., a odnosi se na nabavu</w:t>
      </w:r>
      <w:r w:rsidR="00F7216E" w:rsidRPr="008147B1">
        <w:rPr>
          <w:color w:val="000000" w:themeColor="text1"/>
          <w:sz w:val="24"/>
          <w:szCs w:val="24"/>
        </w:rPr>
        <w:t xml:space="preserve"> informatičkih </w:t>
      </w:r>
      <w:r w:rsidRPr="008147B1">
        <w:rPr>
          <w:color w:val="000000" w:themeColor="text1"/>
          <w:sz w:val="24"/>
          <w:szCs w:val="24"/>
        </w:rPr>
        <w:t xml:space="preserve"> uređaja, ulaganja u zgradu škole –</w:t>
      </w:r>
      <w:r w:rsidR="008147B1" w:rsidRPr="008147B1">
        <w:rPr>
          <w:color w:val="000000" w:themeColor="text1"/>
          <w:sz w:val="24"/>
          <w:szCs w:val="24"/>
        </w:rPr>
        <w:t>vanjske žaluzine.</w:t>
      </w:r>
      <w:r w:rsidRPr="008147B1">
        <w:rPr>
          <w:color w:val="000000" w:themeColor="text1"/>
          <w:sz w:val="24"/>
          <w:szCs w:val="24"/>
        </w:rPr>
        <w:t xml:space="preserve"> </w:t>
      </w:r>
    </w:p>
    <w:p w14:paraId="03C7F1C5" w14:textId="77777777" w:rsidR="009B3E5E" w:rsidRPr="00DA40B8" w:rsidRDefault="009B3E5E" w:rsidP="009B3E5E">
      <w:pPr>
        <w:spacing w:after="0"/>
        <w:jc w:val="both"/>
        <w:rPr>
          <w:sz w:val="24"/>
          <w:szCs w:val="24"/>
        </w:rPr>
      </w:pPr>
    </w:p>
    <w:p w14:paraId="2892B8EE" w14:textId="77777777" w:rsidR="009B3E5E" w:rsidRPr="00DA40B8" w:rsidRDefault="009B3E5E" w:rsidP="009B3E5E">
      <w:pPr>
        <w:spacing w:after="0"/>
        <w:jc w:val="both"/>
        <w:rPr>
          <w:sz w:val="24"/>
          <w:szCs w:val="24"/>
          <w:u w:val="single"/>
        </w:rPr>
      </w:pPr>
      <w:r w:rsidRPr="00DA40B8">
        <w:rPr>
          <w:sz w:val="24"/>
          <w:szCs w:val="24"/>
          <w:u w:val="single"/>
        </w:rPr>
        <w:t>OBRAZAC OBVEZA</w:t>
      </w:r>
    </w:p>
    <w:p w14:paraId="1FCD5C4D" w14:textId="77777777" w:rsidR="009B3E5E" w:rsidRPr="00DA40B8" w:rsidRDefault="009B3E5E" w:rsidP="009B3E5E">
      <w:pPr>
        <w:spacing w:after="0"/>
        <w:jc w:val="both"/>
        <w:rPr>
          <w:sz w:val="24"/>
          <w:szCs w:val="24"/>
          <w:u w:val="single"/>
        </w:rPr>
      </w:pPr>
    </w:p>
    <w:p w14:paraId="245AC7A6" w14:textId="2D516E40" w:rsidR="009B3E5E" w:rsidRPr="00DA40B8" w:rsidRDefault="009B3E5E" w:rsidP="009B3E5E">
      <w:pPr>
        <w:spacing w:after="0"/>
        <w:jc w:val="both"/>
        <w:rPr>
          <w:sz w:val="24"/>
          <w:szCs w:val="24"/>
        </w:rPr>
      </w:pPr>
      <w:r w:rsidRPr="00DA40B8">
        <w:rPr>
          <w:sz w:val="24"/>
          <w:szCs w:val="24"/>
        </w:rPr>
        <w:t>Izvještaj o obvezama prikazuje obveze škole u 20. godini na trećoj razini klasifikacije računskog plana te odnos obveza na početku i na kraju izvještajnog razdoblja</w:t>
      </w:r>
    </w:p>
    <w:p w14:paraId="437BA76B" w14:textId="77777777" w:rsidR="00E15619" w:rsidRDefault="00E15619">
      <w:pPr>
        <w:rPr>
          <w:sz w:val="24"/>
          <w:szCs w:val="24"/>
          <w:u w:val="single"/>
        </w:rPr>
      </w:pPr>
    </w:p>
    <w:p w14:paraId="349F7CA6" w14:textId="77777777" w:rsidR="00137547" w:rsidRDefault="00137547" w:rsidP="00137547">
      <w:pPr>
        <w:spacing w:after="0"/>
        <w:jc w:val="both"/>
        <w:rPr>
          <w:sz w:val="24"/>
          <w:szCs w:val="24"/>
          <w:u w:val="single"/>
        </w:rPr>
      </w:pPr>
    </w:p>
    <w:p w14:paraId="44B350FA" w14:textId="2E3660D0" w:rsidR="00137547" w:rsidRDefault="00137547" w:rsidP="00882E79">
      <w:pPr>
        <w:spacing w:after="0"/>
        <w:jc w:val="both"/>
        <w:rPr>
          <w:sz w:val="24"/>
          <w:szCs w:val="24"/>
        </w:rPr>
      </w:pPr>
    </w:p>
    <w:p w14:paraId="7B7C09E1" w14:textId="1E8E49E7" w:rsidR="000A1CE7" w:rsidRDefault="00DB038E" w:rsidP="00BE6993">
      <w:pPr>
        <w:spacing w:after="0"/>
        <w:jc w:val="both"/>
      </w:pPr>
      <w:r>
        <w:rPr>
          <w:sz w:val="24"/>
          <w:szCs w:val="24"/>
        </w:rPr>
        <w:t xml:space="preserve">Šifra ND23 </w:t>
      </w:r>
      <w:r>
        <w:t xml:space="preserve">obaveze za plaću za </w:t>
      </w:r>
      <w:r w:rsidR="00977EC5">
        <w:t>12</w:t>
      </w:r>
      <w:r>
        <w:t>./202</w:t>
      </w:r>
      <w:r w:rsidR="00903A40">
        <w:t>4</w:t>
      </w:r>
      <w:r>
        <w:t xml:space="preserve">. i obveze po računima od dobavljača za materijalne rashode, čiji je datum dospijeća u </w:t>
      </w:r>
      <w:r w:rsidR="00977EC5">
        <w:t>siječnju</w:t>
      </w:r>
      <w:r>
        <w:t>.</w:t>
      </w:r>
      <w:r w:rsidR="00977EC5">
        <w:t xml:space="preserve"> Dospjele a neplaćene obveze odnose se na račune za koje škola još uvijek nije primila sredstva iz nenadležnih proračuna. </w:t>
      </w:r>
      <w:r w:rsidR="00E96D59">
        <w:t xml:space="preserve"> Iste su uvećane u odnosu na prethodno razdoblje iz ranije spomenutih razloga. </w:t>
      </w:r>
    </w:p>
    <w:p w14:paraId="12DADFC0" w14:textId="77777777" w:rsidR="00DB038E" w:rsidRDefault="00DB038E" w:rsidP="00BE6993">
      <w:pPr>
        <w:spacing w:after="0"/>
        <w:jc w:val="both"/>
        <w:rPr>
          <w:sz w:val="24"/>
          <w:szCs w:val="24"/>
        </w:rPr>
      </w:pPr>
    </w:p>
    <w:p w14:paraId="384C50C9" w14:textId="62C3FDC4" w:rsidR="008408DF" w:rsidRDefault="008408DF" w:rsidP="00065A51">
      <w:pPr>
        <w:spacing w:after="0"/>
        <w:jc w:val="center"/>
        <w:rPr>
          <w:sz w:val="24"/>
          <w:szCs w:val="24"/>
        </w:rPr>
      </w:pPr>
    </w:p>
    <w:p w14:paraId="43973201" w14:textId="47D0DC44" w:rsidR="008408DF" w:rsidRDefault="008408DF" w:rsidP="008408DF">
      <w:pPr>
        <w:pStyle w:val="StandardWeb"/>
      </w:pPr>
      <w:r>
        <w:rPr>
          <w:noProof/>
        </w:rPr>
        <w:drawing>
          <wp:inline distT="0" distB="0" distL="0" distR="0" wp14:anchorId="5DA5FAE6" wp14:editId="4199E41C">
            <wp:extent cx="5759450" cy="3602355"/>
            <wp:effectExtent l="0" t="0" r="0" b="0"/>
            <wp:docPr id="3" name="Slika 3" descr="C:\Users\Admin\AppData\Local\Packages\Microsoft.Windows.Photos_8wekyb3d8bbwe\TempState\ShareServiceTempFolder\Snimka zaslona 2024-07-09 0900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Snimka zaslona 2024-07-09 0900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B44BD" w14:textId="77777777" w:rsidR="008408DF" w:rsidRDefault="008408DF" w:rsidP="00065A51">
      <w:pPr>
        <w:spacing w:after="0"/>
        <w:jc w:val="center"/>
        <w:rPr>
          <w:sz w:val="24"/>
          <w:szCs w:val="24"/>
        </w:rPr>
      </w:pPr>
    </w:p>
    <w:p w14:paraId="0BF50EB8" w14:textId="77777777" w:rsidR="00882E79" w:rsidRDefault="00882E79" w:rsidP="00065A51">
      <w:pPr>
        <w:spacing w:after="0"/>
        <w:jc w:val="center"/>
        <w:rPr>
          <w:sz w:val="24"/>
          <w:szCs w:val="24"/>
        </w:rPr>
      </w:pPr>
    </w:p>
    <w:p w14:paraId="2571D3E5" w14:textId="77777777" w:rsidR="0089199E" w:rsidRDefault="0089199E" w:rsidP="00BE6993">
      <w:pPr>
        <w:spacing w:after="0"/>
        <w:jc w:val="both"/>
        <w:rPr>
          <w:sz w:val="24"/>
          <w:szCs w:val="24"/>
        </w:rPr>
      </w:pPr>
    </w:p>
    <w:p w14:paraId="605A9E06" w14:textId="384E2872" w:rsidR="008147B1" w:rsidRPr="008147B1" w:rsidRDefault="008147B1" w:rsidP="008147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47B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B7B32DA" wp14:editId="0B19F4CC">
            <wp:extent cx="2143125" cy="924485"/>
            <wp:effectExtent l="38100" t="38100" r="28575" b="47625"/>
            <wp:docPr id="2" name="Slika 2" descr="C:\Users\Admin\Desktop\potpis dar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tpis dar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9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48" cy="9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D15582" w14:textId="732E502B" w:rsidR="0028599E" w:rsidRPr="009C1D2C" w:rsidRDefault="0028599E" w:rsidP="009C3E1C">
      <w:pPr>
        <w:spacing w:after="0"/>
        <w:jc w:val="right"/>
        <w:rPr>
          <w:sz w:val="24"/>
          <w:szCs w:val="24"/>
        </w:rPr>
      </w:pPr>
    </w:p>
    <w:sectPr w:rsidR="0028599E" w:rsidRPr="009C1D2C" w:rsidSect="0089199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C"/>
    <w:rsid w:val="000506FA"/>
    <w:rsid w:val="00065A51"/>
    <w:rsid w:val="000A1CE7"/>
    <w:rsid w:val="000C6C24"/>
    <w:rsid w:val="000E23A4"/>
    <w:rsid w:val="000F0DE1"/>
    <w:rsid w:val="00137547"/>
    <w:rsid w:val="00185A2E"/>
    <w:rsid w:val="001C60D8"/>
    <w:rsid w:val="001F2E53"/>
    <w:rsid w:val="00234A64"/>
    <w:rsid w:val="00261AAE"/>
    <w:rsid w:val="00271D5C"/>
    <w:rsid w:val="0028599E"/>
    <w:rsid w:val="002A16B0"/>
    <w:rsid w:val="002D261C"/>
    <w:rsid w:val="00302F72"/>
    <w:rsid w:val="00327BE7"/>
    <w:rsid w:val="00341614"/>
    <w:rsid w:val="00363681"/>
    <w:rsid w:val="00395965"/>
    <w:rsid w:val="00402DEA"/>
    <w:rsid w:val="00405BCE"/>
    <w:rsid w:val="0042515C"/>
    <w:rsid w:val="004A33EF"/>
    <w:rsid w:val="004B4DCD"/>
    <w:rsid w:val="00534B40"/>
    <w:rsid w:val="005773A1"/>
    <w:rsid w:val="006461BA"/>
    <w:rsid w:val="00662E68"/>
    <w:rsid w:val="00693AA1"/>
    <w:rsid w:val="00693AEA"/>
    <w:rsid w:val="006F77E7"/>
    <w:rsid w:val="007130BA"/>
    <w:rsid w:val="0074681B"/>
    <w:rsid w:val="007633BC"/>
    <w:rsid w:val="00781AE8"/>
    <w:rsid w:val="007A515B"/>
    <w:rsid w:val="008147B1"/>
    <w:rsid w:val="008408DF"/>
    <w:rsid w:val="00881AA9"/>
    <w:rsid w:val="00882E79"/>
    <w:rsid w:val="0089199E"/>
    <w:rsid w:val="008B4072"/>
    <w:rsid w:val="00903A40"/>
    <w:rsid w:val="00914576"/>
    <w:rsid w:val="00973B76"/>
    <w:rsid w:val="00977EC5"/>
    <w:rsid w:val="009A7D31"/>
    <w:rsid w:val="009B3E5E"/>
    <w:rsid w:val="009C1D2C"/>
    <w:rsid w:val="009C3E1C"/>
    <w:rsid w:val="00AE4509"/>
    <w:rsid w:val="00B23A9D"/>
    <w:rsid w:val="00B833A9"/>
    <w:rsid w:val="00BA4181"/>
    <w:rsid w:val="00BE6993"/>
    <w:rsid w:val="00C115EC"/>
    <w:rsid w:val="00C30B24"/>
    <w:rsid w:val="00C35D49"/>
    <w:rsid w:val="00C85D91"/>
    <w:rsid w:val="00C96275"/>
    <w:rsid w:val="00CD42E6"/>
    <w:rsid w:val="00D10E24"/>
    <w:rsid w:val="00D25DB9"/>
    <w:rsid w:val="00D6685C"/>
    <w:rsid w:val="00D77A40"/>
    <w:rsid w:val="00D92C75"/>
    <w:rsid w:val="00DB038E"/>
    <w:rsid w:val="00DC18D8"/>
    <w:rsid w:val="00DF3A73"/>
    <w:rsid w:val="00E15619"/>
    <w:rsid w:val="00E8042C"/>
    <w:rsid w:val="00E96D59"/>
    <w:rsid w:val="00EA6ABE"/>
    <w:rsid w:val="00EC7E2C"/>
    <w:rsid w:val="00F43722"/>
    <w:rsid w:val="00F7216E"/>
    <w:rsid w:val="00F9052E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621B"/>
  <w15:chartTrackingRefBased/>
  <w15:docId w15:val="{EDE6E3A3-6CF1-4C8A-8DD4-6F2301D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D4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84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reetke3-isticanje6">
    <w:name w:val="Grid Table 3 Accent 6"/>
    <w:basedOn w:val="Obinatablica"/>
    <w:uiPriority w:val="48"/>
    <w:rsid w:val="004A33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CDC0-3F3B-41A4-B2C9-050533D8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Fučec</dc:creator>
  <cp:keywords/>
  <dc:description/>
  <cp:lastModifiedBy>Elena Fučec</cp:lastModifiedBy>
  <cp:revision>46</cp:revision>
  <cp:lastPrinted>2023-07-10T06:06:00Z</cp:lastPrinted>
  <dcterms:created xsi:type="dcterms:W3CDTF">2022-01-27T11:31:00Z</dcterms:created>
  <dcterms:modified xsi:type="dcterms:W3CDTF">2025-01-24T11:14:00Z</dcterms:modified>
</cp:coreProperties>
</file>