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5BC" w:rsidRDefault="002F2094" w:rsidP="002F2094">
      <w:pPr>
        <w:jc w:val="center"/>
        <w:rPr>
          <w:rFonts w:cstheme="minorHAnsi"/>
          <w:b/>
          <w:sz w:val="24"/>
          <w:szCs w:val="24"/>
        </w:rPr>
      </w:pPr>
      <w:bookmarkStart w:id="0" w:name="_Hlk118892226"/>
      <w:bookmarkEnd w:id="0"/>
      <w:r w:rsidRPr="000220C2">
        <w:rPr>
          <w:rFonts w:cstheme="minorHAnsi"/>
          <w:b/>
          <w:sz w:val="24"/>
          <w:szCs w:val="24"/>
        </w:rPr>
        <w:t xml:space="preserve">OBRAZLOŽENJE </w:t>
      </w:r>
      <w:r w:rsidR="006D038D">
        <w:rPr>
          <w:rFonts w:cstheme="minorHAnsi"/>
          <w:b/>
          <w:sz w:val="24"/>
          <w:szCs w:val="24"/>
        </w:rPr>
        <w:t>II</w:t>
      </w:r>
      <w:r w:rsidR="00A935BC">
        <w:rPr>
          <w:rFonts w:cstheme="minorHAnsi"/>
          <w:b/>
          <w:sz w:val="24"/>
          <w:szCs w:val="24"/>
        </w:rPr>
        <w:t>.</w:t>
      </w:r>
      <w:r w:rsidR="006D038D">
        <w:rPr>
          <w:rFonts w:cstheme="minorHAnsi"/>
          <w:b/>
          <w:sz w:val="24"/>
          <w:szCs w:val="24"/>
        </w:rPr>
        <w:t xml:space="preserve"> IZMJENE </w:t>
      </w:r>
      <w:r w:rsidRPr="000220C2">
        <w:rPr>
          <w:rFonts w:cstheme="minorHAnsi"/>
          <w:b/>
          <w:sz w:val="24"/>
          <w:szCs w:val="24"/>
        </w:rPr>
        <w:t xml:space="preserve">FINANCIJSKOG PLANA ZA </w:t>
      </w:r>
      <w:r w:rsidR="000C42D4" w:rsidRPr="000220C2">
        <w:rPr>
          <w:rFonts w:cstheme="minorHAnsi"/>
          <w:b/>
          <w:sz w:val="24"/>
          <w:szCs w:val="24"/>
        </w:rPr>
        <w:t>2024. GODINU</w:t>
      </w:r>
    </w:p>
    <w:p w:rsidR="002F2094" w:rsidRDefault="000C42D4" w:rsidP="002F2094">
      <w:pPr>
        <w:jc w:val="center"/>
        <w:rPr>
          <w:rFonts w:cstheme="minorHAnsi"/>
          <w:b/>
          <w:sz w:val="24"/>
          <w:szCs w:val="24"/>
        </w:rPr>
      </w:pPr>
      <w:r w:rsidRPr="000220C2">
        <w:rPr>
          <w:rFonts w:cstheme="minorHAnsi"/>
          <w:b/>
          <w:sz w:val="24"/>
          <w:szCs w:val="24"/>
        </w:rPr>
        <w:t xml:space="preserve"> </w:t>
      </w:r>
      <w:r w:rsidR="002F2094" w:rsidRPr="000220C2">
        <w:rPr>
          <w:rFonts w:cstheme="minorHAnsi"/>
          <w:b/>
          <w:sz w:val="24"/>
          <w:szCs w:val="24"/>
        </w:rPr>
        <w:t>OSNOVNA ŠKOLA KURŠANEC</w:t>
      </w:r>
    </w:p>
    <w:p w:rsidR="002F2094" w:rsidRPr="000220C2" w:rsidRDefault="002F2094" w:rsidP="002F2094">
      <w:pPr>
        <w:jc w:val="center"/>
        <w:rPr>
          <w:rFonts w:cstheme="minorHAnsi"/>
          <w:sz w:val="24"/>
          <w:szCs w:val="24"/>
        </w:rPr>
      </w:pPr>
      <w:r w:rsidRPr="000220C2">
        <w:rPr>
          <w:rFonts w:cstheme="minorHAnsi"/>
          <w:sz w:val="24"/>
          <w:szCs w:val="24"/>
        </w:rPr>
        <w:t>(proračunski korisnik)</w:t>
      </w:r>
    </w:p>
    <w:p w:rsidR="002F2094" w:rsidRPr="000220C2" w:rsidRDefault="002F2094">
      <w:pPr>
        <w:rPr>
          <w:rFonts w:cstheme="minorHAnsi"/>
          <w:sz w:val="24"/>
          <w:szCs w:val="24"/>
        </w:rPr>
      </w:pPr>
    </w:p>
    <w:p w:rsidR="002F2094" w:rsidRPr="000220C2" w:rsidRDefault="002F2094">
      <w:pPr>
        <w:rPr>
          <w:rFonts w:cstheme="minorHAnsi"/>
          <w:sz w:val="24"/>
          <w:szCs w:val="24"/>
        </w:rPr>
      </w:pPr>
    </w:p>
    <w:p w:rsidR="002F2094" w:rsidRPr="000220C2" w:rsidRDefault="002F2094">
      <w:pPr>
        <w:rPr>
          <w:rFonts w:cstheme="minorHAnsi"/>
          <w:i/>
          <w:sz w:val="24"/>
          <w:szCs w:val="24"/>
        </w:rPr>
      </w:pPr>
      <w:r w:rsidRPr="000220C2">
        <w:rPr>
          <w:rFonts w:cstheme="minorHAnsi"/>
          <w:i/>
          <w:sz w:val="24"/>
          <w:szCs w:val="24"/>
        </w:rPr>
        <w:t>DJELOKRUG RADA OŠ KURŠANEC</w:t>
      </w:r>
    </w:p>
    <w:p w:rsidR="002F2094" w:rsidRPr="000220C2" w:rsidRDefault="002F2094" w:rsidP="00D4383B">
      <w:pPr>
        <w:jc w:val="both"/>
        <w:rPr>
          <w:rFonts w:cstheme="minorHAnsi"/>
          <w:sz w:val="24"/>
          <w:szCs w:val="24"/>
        </w:rPr>
      </w:pPr>
      <w:r w:rsidRPr="000220C2">
        <w:rPr>
          <w:rFonts w:cstheme="minorHAnsi"/>
          <w:sz w:val="24"/>
          <w:szCs w:val="24"/>
        </w:rPr>
        <w:t xml:space="preserve">Osnovna škola </w:t>
      </w:r>
      <w:proofErr w:type="spellStart"/>
      <w:r w:rsidRPr="000220C2">
        <w:rPr>
          <w:rFonts w:cstheme="minorHAnsi"/>
          <w:sz w:val="24"/>
          <w:szCs w:val="24"/>
        </w:rPr>
        <w:t>Kuršanec</w:t>
      </w:r>
      <w:proofErr w:type="spellEnd"/>
      <w:r w:rsidRPr="000220C2">
        <w:rPr>
          <w:rFonts w:cstheme="minorHAnsi"/>
          <w:sz w:val="24"/>
          <w:szCs w:val="24"/>
        </w:rPr>
        <w:t xml:space="preserve"> javna je ustanova čija je osnovna djelatnost uređena Zakonom o odgoju i obrazovanju u osnovnoj i srednjoj školi i </w:t>
      </w:r>
      <w:r w:rsidR="002908A4" w:rsidRPr="000220C2">
        <w:rPr>
          <w:rFonts w:cstheme="minorHAnsi"/>
          <w:sz w:val="24"/>
          <w:szCs w:val="24"/>
        </w:rPr>
        <w:t>S</w:t>
      </w:r>
      <w:r w:rsidRPr="000220C2">
        <w:rPr>
          <w:rFonts w:cstheme="minorHAnsi"/>
          <w:sz w:val="24"/>
          <w:szCs w:val="24"/>
        </w:rPr>
        <w:t xml:space="preserve">tatutom Osnovne škole </w:t>
      </w:r>
      <w:proofErr w:type="spellStart"/>
      <w:r w:rsidRPr="000220C2">
        <w:rPr>
          <w:rFonts w:cstheme="minorHAnsi"/>
          <w:sz w:val="24"/>
          <w:szCs w:val="24"/>
        </w:rPr>
        <w:t>Kuršanec</w:t>
      </w:r>
      <w:proofErr w:type="spellEnd"/>
      <w:r w:rsidRPr="000220C2">
        <w:rPr>
          <w:rFonts w:cstheme="minorHAnsi"/>
          <w:sz w:val="24"/>
          <w:szCs w:val="24"/>
        </w:rPr>
        <w:t xml:space="preserve">, a osnivač škole je Grad Čakovec, </w:t>
      </w:r>
      <w:r w:rsidR="002908A4" w:rsidRPr="000220C2">
        <w:rPr>
          <w:rFonts w:cstheme="minorHAnsi"/>
          <w:sz w:val="24"/>
          <w:szCs w:val="24"/>
        </w:rPr>
        <w:t>Š</w:t>
      </w:r>
      <w:r w:rsidRPr="000220C2">
        <w:rPr>
          <w:rFonts w:cstheme="minorHAnsi"/>
          <w:sz w:val="24"/>
          <w:szCs w:val="24"/>
        </w:rPr>
        <w:t>kola djeluje od 1999. godine kao samostalna ustanova. U školskoj 202</w:t>
      </w:r>
      <w:r w:rsidR="000C42D4" w:rsidRPr="000220C2">
        <w:rPr>
          <w:rFonts w:cstheme="minorHAnsi"/>
          <w:sz w:val="24"/>
          <w:szCs w:val="24"/>
        </w:rPr>
        <w:t>3</w:t>
      </w:r>
      <w:r w:rsidRPr="000220C2">
        <w:rPr>
          <w:rFonts w:cstheme="minorHAnsi"/>
          <w:sz w:val="24"/>
          <w:szCs w:val="24"/>
        </w:rPr>
        <w:t>./202</w:t>
      </w:r>
      <w:r w:rsidR="000C42D4" w:rsidRPr="000220C2">
        <w:rPr>
          <w:rFonts w:cstheme="minorHAnsi"/>
          <w:sz w:val="24"/>
          <w:szCs w:val="24"/>
        </w:rPr>
        <w:t>4</w:t>
      </w:r>
      <w:r w:rsidRPr="000220C2">
        <w:rPr>
          <w:rFonts w:cstheme="minorHAnsi"/>
          <w:sz w:val="24"/>
          <w:szCs w:val="24"/>
        </w:rPr>
        <w:t>. godini škola broji 4</w:t>
      </w:r>
      <w:r w:rsidR="000C42D4" w:rsidRPr="000220C2">
        <w:rPr>
          <w:rFonts w:cstheme="minorHAnsi"/>
          <w:sz w:val="24"/>
          <w:szCs w:val="24"/>
        </w:rPr>
        <w:t>40</w:t>
      </w:r>
      <w:r w:rsidRPr="000220C2">
        <w:rPr>
          <w:rFonts w:cstheme="minorHAnsi"/>
          <w:sz w:val="24"/>
          <w:szCs w:val="24"/>
        </w:rPr>
        <w:t xml:space="preserve"> učenika razvrstanih u 35 razrednih odjela, 16 razrednih odjela razredne nastave, 15 razrednih odjela predmetne nastave i 4 posebna razredna odjela. Nastava se odvija u dvije smjene.</w:t>
      </w:r>
    </w:p>
    <w:p w:rsidR="002F2094" w:rsidRPr="000220C2" w:rsidRDefault="002F2094">
      <w:pPr>
        <w:rPr>
          <w:rFonts w:cstheme="minorHAnsi"/>
          <w:sz w:val="24"/>
          <w:szCs w:val="24"/>
        </w:rPr>
      </w:pPr>
    </w:p>
    <w:p w:rsidR="002F2094" w:rsidRPr="000220C2" w:rsidRDefault="002F2094">
      <w:pPr>
        <w:rPr>
          <w:rFonts w:cstheme="minorHAnsi"/>
          <w:i/>
          <w:sz w:val="24"/>
          <w:szCs w:val="24"/>
        </w:rPr>
      </w:pPr>
      <w:r w:rsidRPr="000220C2">
        <w:rPr>
          <w:rFonts w:cstheme="minorHAnsi"/>
          <w:i/>
          <w:sz w:val="24"/>
          <w:szCs w:val="24"/>
        </w:rPr>
        <w:t>PREGLED FINANCIJSKIH SREDSTAVA PO PROGRAMIMA</w:t>
      </w:r>
      <w:r w:rsidR="00454F24" w:rsidRPr="000220C2">
        <w:rPr>
          <w:rFonts w:cstheme="minorHAnsi"/>
          <w:i/>
          <w:sz w:val="24"/>
          <w:szCs w:val="24"/>
        </w:rPr>
        <w:t xml:space="preserve"> (u eurima)</w:t>
      </w:r>
    </w:p>
    <w:tbl>
      <w:tblPr>
        <w:tblStyle w:val="Reetkatablice"/>
        <w:tblW w:w="7421" w:type="dxa"/>
        <w:tblLook w:val="04A0" w:firstRow="1" w:lastRow="0" w:firstColumn="1" w:lastColumn="0" w:noHBand="0" w:noVBand="1"/>
      </w:tblPr>
      <w:tblGrid>
        <w:gridCol w:w="2330"/>
        <w:gridCol w:w="1651"/>
        <w:gridCol w:w="1724"/>
        <w:gridCol w:w="1716"/>
      </w:tblGrid>
      <w:tr w:rsidR="000C42D4" w:rsidRPr="000220C2" w:rsidTr="000C42D4">
        <w:trPr>
          <w:trHeight w:val="600"/>
        </w:trPr>
        <w:tc>
          <w:tcPr>
            <w:tcW w:w="2330" w:type="dxa"/>
            <w:hideMark/>
          </w:tcPr>
          <w:p w:rsidR="000C42D4" w:rsidRPr="000220C2" w:rsidRDefault="000C42D4" w:rsidP="009130D9">
            <w:pPr>
              <w:rPr>
                <w:rFonts w:cstheme="minorHAnsi"/>
                <w:b/>
                <w:bCs/>
                <w:sz w:val="24"/>
                <w:szCs w:val="24"/>
              </w:rPr>
            </w:pPr>
            <w:r w:rsidRPr="000220C2">
              <w:rPr>
                <w:rFonts w:cstheme="minorHAnsi"/>
                <w:b/>
                <w:bCs/>
                <w:sz w:val="24"/>
                <w:szCs w:val="24"/>
              </w:rPr>
              <w:t>Naziv programa iz Proračuna</w:t>
            </w:r>
          </w:p>
        </w:tc>
        <w:tc>
          <w:tcPr>
            <w:tcW w:w="1651" w:type="dxa"/>
            <w:hideMark/>
          </w:tcPr>
          <w:p w:rsidR="000C42D4" w:rsidRPr="000220C2" w:rsidRDefault="000C42D4" w:rsidP="009130D9">
            <w:pPr>
              <w:rPr>
                <w:rFonts w:cstheme="minorHAnsi"/>
                <w:b/>
                <w:bCs/>
                <w:sz w:val="24"/>
                <w:szCs w:val="24"/>
              </w:rPr>
            </w:pPr>
            <w:r w:rsidRPr="000220C2">
              <w:rPr>
                <w:rFonts w:cstheme="minorHAnsi"/>
                <w:b/>
                <w:bCs/>
                <w:sz w:val="24"/>
                <w:szCs w:val="24"/>
              </w:rPr>
              <w:t>Plan 2024.</w:t>
            </w:r>
          </w:p>
        </w:tc>
        <w:tc>
          <w:tcPr>
            <w:tcW w:w="1724" w:type="dxa"/>
            <w:hideMark/>
          </w:tcPr>
          <w:p w:rsidR="000C42D4" w:rsidRPr="000220C2" w:rsidRDefault="00096B42" w:rsidP="009130D9">
            <w:pPr>
              <w:rPr>
                <w:rFonts w:cstheme="minorHAnsi"/>
                <w:b/>
                <w:bCs/>
                <w:sz w:val="24"/>
                <w:szCs w:val="24"/>
              </w:rPr>
            </w:pPr>
            <w:r>
              <w:rPr>
                <w:rFonts w:cstheme="minorHAnsi"/>
                <w:b/>
                <w:bCs/>
                <w:sz w:val="24"/>
                <w:szCs w:val="24"/>
              </w:rPr>
              <w:t>I. izmjene 2024.</w:t>
            </w:r>
          </w:p>
        </w:tc>
        <w:tc>
          <w:tcPr>
            <w:tcW w:w="1716" w:type="dxa"/>
            <w:hideMark/>
          </w:tcPr>
          <w:p w:rsidR="000C42D4" w:rsidRPr="000220C2" w:rsidRDefault="00096B42" w:rsidP="009130D9">
            <w:pPr>
              <w:rPr>
                <w:rFonts w:cstheme="minorHAnsi"/>
                <w:b/>
                <w:bCs/>
                <w:sz w:val="24"/>
                <w:szCs w:val="24"/>
              </w:rPr>
            </w:pPr>
            <w:r>
              <w:rPr>
                <w:rFonts w:cstheme="minorHAnsi"/>
                <w:b/>
                <w:bCs/>
                <w:sz w:val="24"/>
                <w:szCs w:val="24"/>
              </w:rPr>
              <w:t>II. izmjene 2024.</w:t>
            </w:r>
          </w:p>
        </w:tc>
      </w:tr>
      <w:tr w:rsidR="000C42D4" w:rsidRPr="000220C2" w:rsidTr="000C42D4">
        <w:trPr>
          <w:trHeight w:val="300"/>
        </w:trPr>
        <w:tc>
          <w:tcPr>
            <w:tcW w:w="2330" w:type="dxa"/>
            <w:noWrap/>
            <w:hideMark/>
          </w:tcPr>
          <w:p w:rsidR="000C42D4" w:rsidRPr="000220C2" w:rsidRDefault="000C42D4">
            <w:pPr>
              <w:rPr>
                <w:rFonts w:cstheme="minorHAnsi"/>
                <w:sz w:val="24"/>
                <w:szCs w:val="24"/>
              </w:rPr>
            </w:pPr>
            <w:r w:rsidRPr="000220C2">
              <w:rPr>
                <w:rFonts w:cstheme="minorHAnsi"/>
                <w:sz w:val="24"/>
                <w:szCs w:val="24"/>
              </w:rPr>
              <w:t>Program obrazovanja i odgoja učenika osnovnoškolske dobi</w:t>
            </w:r>
          </w:p>
        </w:tc>
        <w:tc>
          <w:tcPr>
            <w:tcW w:w="1651" w:type="dxa"/>
            <w:noWrap/>
            <w:hideMark/>
          </w:tcPr>
          <w:p w:rsidR="000C42D4" w:rsidRPr="000220C2" w:rsidRDefault="000C42D4" w:rsidP="00984D9C">
            <w:pPr>
              <w:jc w:val="center"/>
              <w:rPr>
                <w:rFonts w:cstheme="minorHAnsi"/>
                <w:sz w:val="24"/>
                <w:szCs w:val="24"/>
              </w:rPr>
            </w:pPr>
            <w:r w:rsidRPr="000220C2">
              <w:rPr>
                <w:rFonts w:cstheme="minorHAnsi"/>
                <w:sz w:val="24"/>
                <w:szCs w:val="24"/>
              </w:rPr>
              <w:t>2.527.468,00</w:t>
            </w:r>
          </w:p>
        </w:tc>
        <w:tc>
          <w:tcPr>
            <w:tcW w:w="1724" w:type="dxa"/>
            <w:noWrap/>
            <w:hideMark/>
          </w:tcPr>
          <w:p w:rsidR="000C42D4" w:rsidRPr="000220C2" w:rsidRDefault="00096B42" w:rsidP="00984D9C">
            <w:pPr>
              <w:jc w:val="center"/>
              <w:rPr>
                <w:rFonts w:cstheme="minorHAnsi"/>
                <w:sz w:val="24"/>
                <w:szCs w:val="24"/>
              </w:rPr>
            </w:pPr>
            <w:r>
              <w:rPr>
                <w:rFonts w:cstheme="minorHAnsi"/>
                <w:sz w:val="24"/>
                <w:szCs w:val="24"/>
              </w:rPr>
              <w:t>2.558.372,13</w:t>
            </w:r>
          </w:p>
        </w:tc>
        <w:tc>
          <w:tcPr>
            <w:tcW w:w="1716" w:type="dxa"/>
            <w:noWrap/>
            <w:hideMark/>
          </w:tcPr>
          <w:p w:rsidR="000C42D4" w:rsidRPr="000220C2" w:rsidRDefault="00096B42" w:rsidP="00984D9C">
            <w:pPr>
              <w:jc w:val="center"/>
              <w:rPr>
                <w:rFonts w:cstheme="minorHAnsi"/>
                <w:sz w:val="24"/>
                <w:szCs w:val="24"/>
              </w:rPr>
            </w:pPr>
            <w:r>
              <w:rPr>
                <w:rFonts w:cstheme="minorHAnsi"/>
                <w:sz w:val="24"/>
                <w:szCs w:val="24"/>
              </w:rPr>
              <w:t>2.556.242,70</w:t>
            </w:r>
          </w:p>
        </w:tc>
      </w:tr>
    </w:tbl>
    <w:p w:rsidR="002F2094" w:rsidRPr="000220C2" w:rsidRDefault="002F2094">
      <w:pPr>
        <w:rPr>
          <w:rFonts w:cstheme="minorHAnsi"/>
          <w:sz w:val="24"/>
          <w:szCs w:val="24"/>
        </w:rPr>
      </w:pPr>
    </w:p>
    <w:tbl>
      <w:tblPr>
        <w:tblStyle w:val="Reetkatablice"/>
        <w:tblW w:w="0" w:type="auto"/>
        <w:tblLook w:val="04A0" w:firstRow="1" w:lastRow="0" w:firstColumn="1" w:lastColumn="0" w:noHBand="0" w:noVBand="1"/>
      </w:tblPr>
      <w:tblGrid>
        <w:gridCol w:w="9062"/>
      </w:tblGrid>
      <w:tr w:rsidR="009130D9" w:rsidRPr="000220C2" w:rsidTr="009130D9">
        <w:tc>
          <w:tcPr>
            <w:tcW w:w="9062" w:type="dxa"/>
          </w:tcPr>
          <w:p w:rsidR="009130D9" w:rsidRPr="000220C2" w:rsidRDefault="009130D9">
            <w:pPr>
              <w:rPr>
                <w:rFonts w:cstheme="minorHAnsi"/>
                <w:sz w:val="24"/>
                <w:szCs w:val="24"/>
              </w:rPr>
            </w:pPr>
            <w:r w:rsidRPr="000220C2">
              <w:rPr>
                <w:rFonts w:cstheme="minorHAnsi"/>
                <w:sz w:val="24"/>
                <w:szCs w:val="24"/>
              </w:rPr>
              <w:t>Opis programa:</w:t>
            </w:r>
          </w:p>
          <w:p w:rsidR="009130D9" w:rsidRPr="000220C2" w:rsidRDefault="009130D9" w:rsidP="00D4383B">
            <w:pPr>
              <w:jc w:val="both"/>
              <w:rPr>
                <w:rFonts w:cstheme="minorHAnsi"/>
                <w:sz w:val="24"/>
                <w:szCs w:val="24"/>
              </w:rPr>
            </w:pPr>
            <w:r w:rsidRPr="000220C2">
              <w:rPr>
                <w:rFonts w:cstheme="minorHAnsi"/>
                <w:sz w:val="24"/>
                <w:szCs w:val="24"/>
              </w:rPr>
              <w:t xml:space="preserve">OŠ </w:t>
            </w:r>
            <w:proofErr w:type="spellStart"/>
            <w:r w:rsidRPr="000220C2">
              <w:rPr>
                <w:rFonts w:cstheme="minorHAnsi"/>
                <w:sz w:val="24"/>
                <w:szCs w:val="24"/>
              </w:rPr>
              <w:t>Kuršanec</w:t>
            </w:r>
            <w:proofErr w:type="spellEnd"/>
            <w:r w:rsidRPr="000220C2">
              <w:rPr>
                <w:rFonts w:cstheme="minorHAnsi"/>
                <w:sz w:val="24"/>
                <w:szCs w:val="24"/>
              </w:rPr>
              <w:t xml:space="preserve"> osmišljava, organizira i provodi odgojno obrazovnu djelatnost vodeći se vizijom i misijom škole. Vizija škole je škola u kojoj djeca prema svojim sposobnostima usvajaju sadržaje koji im omogućavaju osobni rast i razvoj koji će doprinositi kvalitetnijem suživotu u društvenoj zajednici. Misija škole je podučavanje učiniti zanimljivim i djeci izazovnim.</w:t>
            </w:r>
          </w:p>
          <w:p w:rsidR="009130D9" w:rsidRPr="000220C2" w:rsidRDefault="009130D9">
            <w:pPr>
              <w:rPr>
                <w:rFonts w:cstheme="minorHAnsi"/>
                <w:sz w:val="24"/>
                <w:szCs w:val="24"/>
              </w:rPr>
            </w:pPr>
          </w:p>
        </w:tc>
      </w:tr>
    </w:tbl>
    <w:p w:rsidR="002F2094" w:rsidRPr="000220C2" w:rsidRDefault="002F2094">
      <w:pPr>
        <w:rPr>
          <w:rFonts w:cstheme="minorHAnsi"/>
          <w:sz w:val="24"/>
          <w:szCs w:val="24"/>
        </w:rPr>
      </w:pPr>
    </w:p>
    <w:tbl>
      <w:tblPr>
        <w:tblStyle w:val="Reetkatablice"/>
        <w:tblW w:w="0" w:type="auto"/>
        <w:tblLook w:val="04A0" w:firstRow="1" w:lastRow="0" w:firstColumn="1" w:lastColumn="0" w:noHBand="0" w:noVBand="1"/>
      </w:tblPr>
      <w:tblGrid>
        <w:gridCol w:w="9062"/>
      </w:tblGrid>
      <w:tr w:rsidR="009130D9" w:rsidRPr="000220C2" w:rsidTr="009130D9">
        <w:tc>
          <w:tcPr>
            <w:tcW w:w="9062" w:type="dxa"/>
          </w:tcPr>
          <w:p w:rsidR="009130D9" w:rsidRPr="000220C2" w:rsidRDefault="009130D9">
            <w:pPr>
              <w:rPr>
                <w:rFonts w:cstheme="minorHAnsi"/>
                <w:sz w:val="24"/>
                <w:szCs w:val="24"/>
              </w:rPr>
            </w:pPr>
            <w:r w:rsidRPr="000220C2">
              <w:rPr>
                <w:rFonts w:cstheme="minorHAnsi"/>
                <w:sz w:val="24"/>
                <w:szCs w:val="24"/>
              </w:rPr>
              <w:t>Zakonske i druge pravne osnove:</w:t>
            </w:r>
          </w:p>
          <w:p w:rsidR="009130D9" w:rsidRPr="000220C2" w:rsidRDefault="009130D9">
            <w:pPr>
              <w:rPr>
                <w:rFonts w:cstheme="minorHAnsi"/>
                <w:sz w:val="24"/>
                <w:szCs w:val="24"/>
              </w:rPr>
            </w:pPr>
          </w:p>
          <w:p w:rsidR="009130D9" w:rsidRPr="000220C2" w:rsidRDefault="009130D9">
            <w:pPr>
              <w:rPr>
                <w:rFonts w:cstheme="minorHAnsi"/>
                <w:sz w:val="24"/>
                <w:szCs w:val="24"/>
              </w:rPr>
            </w:pPr>
            <w:r w:rsidRPr="000220C2">
              <w:rPr>
                <w:rFonts w:cstheme="minorHAnsi"/>
                <w:sz w:val="24"/>
                <w:szCs w:val="24"/>
              </w:rPr>
              <w:t xml:space="preserve">Zakon o odgoju i obrazovanju u osnovnoj i srednjoj školi, (NN </w:t>
            </w:r>
            <w:proofErr w:type="spellStart"/>
            <w:r w:rsidRPr="000220C2">
              <w:rPr>
                <w:rFonts w:cstheme="minorHAnsi"/>
                <w:sz w:val="24"/>
                <w:szCs w:val="24"/>
              </w:rPr>
              <w:t>br</w:t>
            </w:r>
            <w:proofErr w:type="spellEnd"/>
            <w:r w:rsidRPr="000220C2">
              <w:rPr>
                <w:rFonts w:cstheme="minorHAnsi"/>
                <w:sz w:val="24"/>
                <w:szCs w:val="24"/>
              </w:rPr>
              <w:t xml:space="preserve"> 87/08., 86/09.,92/10., 90/11., 5/12., 16/12., 94/13., 152/14., 07/17., 68/18. 98/19.) - Zakon o ustanovama, (NN </w:t>
            </w:r>
            <w:proofErr w:type="spellStart"/>
            <w:r w:rsidRPr="000220C2">
              <w:rPr>
                <w:rFonts w:cstheme="minorHAnsi"/>
                <w:sz w:val="24"/>
                <w:szCs w:val="24"/>
              </w:rPr>
              <w:t>br</w:t>
            </w:r>
            <w:proofErr w:type="spellEnd"/>
            <w:r w:rsidRPr="000220C2">
              <w:rPr>
                <w:rFonts w:cstheme="minorHAnsi"/>
                <w:sz w:val="24"/>
                <w:szCs w:val="24"/>
              </w:rPr>
              <w:t xml:space="preserve"> 76/93., 29/97., 47/99. i 35/08.) - Zakon o proračunu, (NN 87/08.; 136/12., 15/15.</w:t>
            </w:r>
            <w:r w:rsidR="00454F24" w:rsidRPr="000220C2">
              <w:rPr>
                <w:rFonts w:cstheme="minorHAnsi"/>
                <w:sz w:val="24"/>
                <w:szCs w:val="24"/>
              </w:rPr>
              <w:t>, 144/21</w:t>
            </w:r>
            <w:r w:rsidRPr="000220C2">
              <w:rPr>
                <w:rFonts w:cstheme="minorHAnsi"/>
                <w:sz w:val="24"/>
                <w:szCs w:val="24"/>
              </w:rPr>
              <w:t>) - Pravilnik o proračunskim klasifikacijama (NN br. 26/10., 120/13) - Pravilnik o proračunskom računovodstvu i računskom planu ( N.N. 124/14, 115/15., 87/16., 3/18.</w:t>
            </w:r>
            <w:r w:rsidR="00454F24" w:rsidRPr="000220C2">
              <w:rPr>
                <w:rFonts w:cstheme="minorHAnsi"/>
                <w:sz w:val="24"/>
                <w:szCs w:val="24"/>
              </w:rPr>
              <w:t>. 129/19, 108/20</w:t>
            </w:r>
            <w:r w:rsidRPr="000220C2">
              <w:rPr>
                <w:rFonts w:cstheme="minorHAnsi"/>
                <w:sz w:val="24"/>
                <w:szCs w:val="24"/>
              </w:rPr>
              <w:t>)</w:t>
            </w:r>
          </w:p>
        </w:tc>
      </w:tr>
    </w:tbl>
    <w:p w:rsidR="009130D9" w:rsidRPr="000220C2" w:rsidRDefault="009130D9">
      <w:pPr>
        <w:rPr>
          <w:rFonts w:cstheme="minorHAnsi"/>
          <w:sz w:val="24"/>
          <w:szCs w:val="24"/>
        </w:rPr>
      </w:pPr>
    </w:p>
    <w:p w:rsidR="002F2094" w:rsidRPr="000220C2" w:rsidRDefault="00096B42">
      <w:pPr>
        <w:rPr>
          <w:rFonts w:cstheme="minorHAnsi"/>
          <w:sz w:val="24"/>
          <w:szCs w:val="24"/>
        </w:rPr>
      </w:pPr>
      <w:r>
        <w:rPr>
          <w:rFonts w:cstheme="minorHAnsi"/>
          <w:sz w:val="24"/>
          <w:szCs w:val="24"/>
        </w:rPr>
        <w:t xml:space="preserve">II. izmjene </w:t>
      </w:r>
      <w:r w:rsidR="00C7652C" w:rsidRPr="000220C2">
        <w:rPr>
          <w:rFonts w:cstheme="minorHAnsi"/>
          <w:sz w:val="24"/>
          <w:szCs w:val="24"/>
        </w:rPr>
        <w:t xml:space="preserve"> financijskog plana za 202</w:t>
      </w:r>
      <w:r w:rsidR="000C42D4" w:rsidRPr="000220C2">
        <w:rPr>
          <w:rFonts w:cstheme="minorHAnsi"/>
          <w:sz w:val="24"/>
          <w:szCs w:val="24"/>
        </w:rPr>
        <w:t>4</w:t>
      </w:r>
      <w:r w:rsidR="00C7652C" w:rsidRPr="000220C2">
        <w:rPr>
          <w:rFonts w:cstheme="minorHAnsi"/>
          <w:sz w:val="24"/>
          <w:szCs w:val="24"/>
        </w:rPr>
        <w:t xml:space="preserve">. godinu </w:t>
      </w:r>
      <w:r>
        <w:rPr>
          <w:rFonts w:cstheme="minorHAnsi"/>
          <w:sz w:val="24"/>
          <w:szCs w:val="24"/>
        </w:rPr>
        <w:t xml:space="preserve">sastavljene su </w:t>
      </w:r>
      <w:r w:rsidR="00C7652C" w:rsidRPr="000220C2">
        <w:rPr>
          <w:rFonts w:cstheme="minorHAnsi"/>
          <w:sz w:val="24"/>
          <w:szCs w:val="24"/>
        </w:rPr>
        <w:t xml:space="preserve">na temelju uputa za izradu financijskih planova Grada Čakovca za razdoblje 2023. -2025. </w:t>
      </w:r>
      <w:r w:rsidR="00454F24" w:rsidRPr="000220C2">
        <w:rPr>
          <w:rFonts w:cstheme="minorHAnsi"/>
          <w:sz w:val="24"/>
          <w:szCs w:val="24"/>
        </w:rPr>
        <w:t xml:space="preserve">godine. </w:t>
      </w:r>
      <w:r w:rsidR="00C7652C" w:rsidRPr="000220C2">
        <w:rPr>
          <w:rFonts w:cstheme="minorHAnsi"/>
          <w:sz w:val="24"/>
          <w:szCs w:val="24"/>
        </w:rPr>
        <w:t>Procjena prihoda i rashoda izvršena je prema ekonomskoj klasifikaciji i izvorima financiranja</w:t>
      </w:r>
      <w:r w:rsidR="00454F24" w:rsidRPr="000220C2">
        <w:rPr>
          <w:rFonts w:cstheme="minorHAnsi"/>
          <w:sz w:val="24"/>
          <w:szCs w:val="24"/>
        </w:rPr>
        <w:t xml:space="preserve"> kako slijedi:</w:t>
      </w:r>
    </w:p>
    <w:p w:rsidR="00C7652C" w:rsidRPr="000220C2" w:rsidRDefault="00C7652C">
      <w:pPr>
        <w:rPr>
          <w:rFonts w:cstheme="minorHAnsi"/>
          <w:sz w:val="24"/>
          <w:szCs w:val="24"/>
        </w:rPr>
      </w:pPr>
    </w:p>
    <w:tbl>
      <w:tblPr>
        <w:tblW w:w="9920" w:type="dxa"/>
        <w:tblInd w:w="-10" w:type="dxa"/>
        <w:tblLook w:val="04A0" w:firstRow="1" w:lastRow="0" w:firstColumn="1" w:lastColumn="0" w:noHBand="0" w:noVBand="1"/>
      </w:tblPr>
      <w:tblGrid>
        <w:gridCol w:w="1060"/>
        <w:gridCol w:w="6320"/>
        <w:gridCol w:w="2540"/>
      </w:tblGrid>
      <w:tr w:rsidR="000B4239" w:rsidRPr="009E1432" w:rsidTr="000B4239">
        <w:trPr>
          <w:trHeight w:val="330"/>
        </w:trPr>
        <w:tc>
          <w:tcPr>
            <w:tcW w:w="106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b/>
                <w:bCs/>
                <w:color w:val="000000"/>
                <w:sz w:val="20"/>
                <w:szCs w:val="20"/>
                <w:lang w:eastAsia="hr-HR"/>
              </w:rPr>
            </w:pPr>
            <w:r w:rsidRPr="009E1432">
              <w:rPr>
                <w:rFonts w:eastAsia="Times New Roman" w:cstheme="minorHAnsi"/>
                <w:b/>
                <w:bCs/>
                <w:color w:val="000000"/>
                <w:sz w:val="20"/>
                <w:szCs w:val="20"/>
                <w:lang w:eastAsia="hr-HR"/>
              </w:rPr>
              <w:t>Račun</w:t>
            </w:r>
          </w:p>
        </w:tc>
        <w:tc>
          <w:tcPr>
            <w:tcW w:w="6320" w:type="dxa"/>
            <w:tcBorders>
              <w:top w:val="single" w:sz="8" w:space="0" w:color="000000"/>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b/>
                <w:bCs/>
                <w:color w:val="000000"/>
                <w:sz w:val="20"/>
                <w:szCs w:val="20"/>
                <w:lang w:eastAsia="hr-HR"/>
              </w:rPr>
            </w:pPr>
            <w:r w:rsidRPr="009E1432">
              <w:rPr>
                <w:rFonts w:eastAsia="Times New Roman" w:cstheme="minorHAnsi"/>
                <w:b/>
                <w:bCs/>
                <w:color w:val="000000"/>
                <w:sz w:val="20"/>
                <w:szCs w:val="20"/>
                <w:lang w:eastAsia="hr-HR"/>
              </w:rPr>
              <w:t>Naziv</w:t>
            </w:r>
          </w:p>
        </w:tc>
        <w:tc>
          <w:tcPr>
            <w:tcW w:w="2540" w:type="dxa"/>
            <w:tcBorders>
              <w:top w:val="single" w:sz="8" w:space="0" w:color="000000"/>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b/>
                <w:bCs/>
                <w:color w:val="000000"/>
                <w:sz w:val="20"/>
                <w:szCs w:val="20"/>
                <w:lang w:eastAsia="hr-HR"/>
              </w:rPr>
            </w:pPr>
            <w:r w:rsidRPr="009E1432">
              <w:rPr>
                <w:rFonts w:eastAsia="Times New Roman" w:cstheme="minorHAnsi"/>
                <w:b/>
                <w:bCs/>
                <w:color w:val="000000"/>
                <w:sz w:val="20"/>
                <w:szCs w:val="20"/>
                <w:lang w:eastAsia="hr-HR"/>
              </w:rPr>
              <w:t>Izvor financiranja</w:t>
            </w:r>
          </w:p>
        </w:tc>
      </w:tr>
      <w:tr w:rsidR="000B4239" w:rsidRPr="009E1432" w:rsidTr="000B4239">
        <w:trPr>
          <w:trHeight w:val="330"/>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63311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iz državnog  proračuna – proračunski korisnici</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330"/>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633112</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iz državnog  proračuna – 15% Pomoćnici</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6331122</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iz državnog  proračuna – 15% Školski obrok za sve</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634141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od HZMO-a, HZZ-a i HZZO-a  (sredstva ostvarena za mjeru javni radovi)</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Pomoći</w:t>
            </w:r>
          </w:p>
        </w:tc>
      </w:tr>
      <w:tr w:rsidR="000B4239" w:rsidRPr="009E1432" w:rsidTr="000B4239">
        <w:trPr>
          <w:trHeight w:val="330"/>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634151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od izvanproračunskih korisnika</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63612</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iz državnog proračuna proračunskim korisnicima JLP(R)S</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63622</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Kapitalne pomoći iz državnog proračuna proračunskim korisnicima JLP(R)S</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6381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iz državnog proračuna temeljem prijenosa EU sredstava – direktno projekti škola</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51 – Pomoći EU</w:t>
            </w: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63811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pomoći iz državnog proračuna temeljem prijenosa EU sredstava – 85% pomoćnici u nastavi</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51 – Pomoći EU</w:t>
            </w: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638112</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 xml:space="preserve">Tekuće pomoći iz državnog proračuna temeljem prijenosa EU sredstava – 85% osiguranje prehrane </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51 – Pomoći EU</w:t>
            </w: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63821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Kapitalne  pomoći iz državnog proračuna temeljem prijenosa EU sredstava</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51 – Pomoći EU</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63822</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Kapitalne  pomoći iz proračuna JLP(R)S temeljem prijenosa EU sredstava</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51 – Pomoći EU</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63911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Tekući prijenosi između proračunskih korisnika istog proračuna (obavezno pročitati tekstualni dio ispod tabele)</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 xml:space="preserve">52 – Pomoći </w:t>
            </w: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63921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Kapitalni prijenosi između proračunskih korisnika istog proračuna (obavezno pročitati tekstualni dio ispod tabele)</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52 - Pomoći</w:t>
            </w: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641321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Kamate na oročena sredstva i depozite po viđenju</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64143</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od zateznih kamata</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64192</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Ostali prihodi od financijske imovine</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960"/>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lastRenderedPageBreak/>
              <w:t>66151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od  zakupa  i iznajmljivanja  imovine (Napomena: prema uputama MF proračunski korisnici obavezno planiraju prihod od zakupa na računu 66151)</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65269111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Ostali nespomenuti prihodi</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43 – Prihodi za posebne namjene</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66141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od prodaje proizvoda</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66142</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od prodaje robe</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66151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od pruženih usluga</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67111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iz nadležnog proračuna za financiranje rashoda poslovanja</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11 – Opći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645"/>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67121</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Prihodi iz nadležnog proračuna za financiranje rashoda za nabavu nefinancijske imovine</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11 – Opći prihodi</w:t>
            </w: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66311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Tekuće donacije</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61 - Donacije</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66321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Kapitalne donacije</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61 – Donacije</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476"/>
        </w:trPr>
        <w:tc>
          <w:tcPr>
            <w:tcW w:w="10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683111</w:t>
            </w:r>
          </w:p>
        </w:tc>
        <w:tc>
          <w:tcPr>
            <w:tcW w:w="6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Ostali prihodi</w:t>
            </w:r>
          </w:p>
        </w:tc>
        <w:tc>
          <w:tcPr>
            <w:tcW w:w="254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31 – Vlastiti prihodi</w:t>
            </w:r>
          </w:p>
        </w:tc>
      </w:tr>
      <w:tr w:rsidR="000B4239" w:rsidRPr="009E1432" w:rsidTr="000B4239">
        <w:trPr>
          <w:trHeight w:val="476"/>
        </w:trPr>
        <w:tc>
          <w:tcPr>
            <w:tcW w:w="106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632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c>
          <w:tcPr>
            <w:tcW w:w="2540" w:type="dxa"/>
            <w:vMerge/>
            <w:tcBorders>
              <w:top w:val="nil"/>
              <w:left w:val="single" w:sz="8" w:space="0" w:color="000000"/>
              <w:bottom w:val="single" w:sz="8" w:space="0" w:color="000000"/>
              <w:right w:val="single" w:sz="8" w:space="0" w:color="000000"/>
            </w:tcBorders>
            <w:vAlign w:val="center"/>
            <w:hideMark/>
          </w:tcPr>
          <w:p w:rsidR="000B4239" w:rsidRPr="009E1432" w:rsidRDefault="000B4239" w:rsidP="000B4239">
            <w:pPr>
              <w:spacing w:after="0" w:line="240" w:lineRule="auto"/>
              <w:rPr>
                <w:rFonts w:eastAsia="Times New Roman" w:cstheme="minorHAnsi"/>
                <w:color w:val="000000"/>
                <w:sz w:val="20"/>
                <w:szCs w:val="20"/>
                <w:lang w:eastAsia="hr-HR"/>
              </w:rPr>
            </w:pPr>
          </w:p>
        </w:tc>
      </w:tr>
      <w:tr w:rsidR="000B4239" w:rsidRPr="009E1432" w:rsidTr="000B4239">
        <w:trPr>
          <w:trHeight w:val="960"/>
        </w:trPr>
        <w:tc>
          <w:tcPr>
            <w:tcW w:w="1060" w:type="dxa"/>
            <w:tcBorders>
              <w:top w:val="nil"/>
              <w:left w:val="single" w:sz="8" w:space="0" w:color="000000"/>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721193</w:t>
            </w:r>
          </w:p>
        </w:tc>
        <w:tc>
          <w:tcPr>
            <w:tcW w:w="632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Stambeni objekti</w:t>
            </w:r>
          </w:p>
        </w:tc>
        <w:tc>
          <w:tcPr>
            <w:tcW w:w="2540" w:type="dxa"/>
            <w:tcBorders>
              <w:top w:val="nil"/>
              <w:left w:val="nil"/>
              <w:bottom w:val="single" w:sz="8" w:space="0" w:color="000000"/>
              <w:right w:val="single" w:sz="8" w:space="0" w:color="000000"/>
            </w:tcBorders>
            <w:shd w:val="clear" w:color="auto" w:fill="auto"/>
            <w:vAlign w:val="bottom"/>
            <w:hideMark/>
          </w:tcPr>
          <w:p w:rsidR="000B4239" w:rsidRPr="009E1432" w:rsidRDefault="000B4239" w:rsidP="000B4239">
            <w:pPr>
              <w:spacing w:after="0" w:line="240" w:lineRule="auto"/>
              <w:rPr>
                <w:rFonts w:eastAsia="Times New Roman" w:cstheme="minorHAnsi"/>
                <w:color w:val="000000"/>
                <w:sz w:val="20"/>
                <w:szCs w:val="20"/>
                <w:lang w:eastAsia="hr-HR"/>
              </w:rPr>
            </w:pPr>
            <w:r w:rsidRPr="009E1432">
              <w:rPr>
                <w:rFonts w:eastAsia="Times New Roman" w:cstheme="minorHAnsi"/>
                <w:color w:val="000000"/>
                <w:sz w:val="20"/>
                <w:szCs w:val="20"/>
                <w:lang w:eastAsia="hr-HR"/>
              </w:rPr>
              <w:t>71 – Prihodi od prodaje ili zamjene nefinancijske imovine</w:t>
            </w:r>
          </w:p>
        </w:tc>
      </w:tr>
    </w:tbl>
    <w:p w:rsidR="000B4239" w:rsidRPr="000220C2" w:rsidRDefault="000B4239">
      <w:pPr>
        <w:rPr>
          <w:rFonts w:cstheme="minorHAnsi"/>
          <w:sz w:val="24"/>
          <w:szCs w:val="24"/>
        </w:rPr>
      </w:pPr>
    </w:p>
    <w:p w:rsidR="002F2094" w:rsidRPr="000220C2" w:rsidRDefault="000B4239" w:rsidP="00D4383B">
      <w:pPr>
        <w:jc w:val="both"/>
        <w:rPr>
          <w:rFonts w:cstheme="minorHAnsi"/>
          <w:i/>
          <w:sz w:val="24"/>
          <w:szCs w:val="24"/>
        </w:rPr>
      </w:pPr>
      <w:r w:rsidRPr="000220C2">
        <w:rPr>
          <w:rFonts w:cstheme="minorHAnsi"/>
          <w:i/>
          <w:sz w:val="24"/>
          <w:szCs w:val="24"/>
        </w:rPr>
        <w:t>1. Opći prihodi i primici</w:t>
      </w:r>
      <w:r w:rsidR="00454F24" w:rsidRPr="000220C2">
        <w:rPr>
          <w:rFonts w:cstheme="minorHAnsi"/>
          <w:i/>
          <w:sz w:val="24"/>
          <w:szCs w:val="24"/>
        </w:rPr>
        <w:t xml:space="preserve"> </w:t>
      </w:r>
    </w:p>
    <w:p w:rsidR="000C42D4" w:rsidRPr="000220C2" w:rsidRDefault="000B4239" w:rsidP="00D4383B">
      <w:pPr>
        <w:jc w:val="both"/>
        <w:rPr>
          <w:rFonts w:cstheme="minorHAnsi"/>
          <w:sz w:val="24"/>
          <w:szCs w:val="24"/>
        </w:rPr>
      </w:pPr>
      <w:r w:rsidRPr="000220C2">
        <w:rPr>
          <w:rFonts w:cstheme="minorHAnsi"/>
          <w:sz w:val="24"/>
          <w:szCs w:val="24"/>
        </w:rPr>
        <w:t>O</w:t>
      </w:r>
      <w:r w:rsidR="002908A4" w:rsidRPr="000220C2">
        <w:rPr>
          <w:rFonts w:cstheme="minorHAnsi"/>
          <w:sz w:val="24"/>
          <w:szCs w:val="24"/>
        </w:rPr>
        <w:t xml:space="preserve">pći prihodi i primici Škole </w:t>
      </w:r>
      <w:r w:rsidR="001038E3" w:rsidRPr="000220C2">
        <w:rPr>
          <w:rFonts w:cstheme="minorHAnsi"/>
          <w:sz w:val="24"/>
          <w:szCs w:val="24"/>
        </w:rPr>
        <w:t>odnose</w:t>
      </w:r>
      <w:r w:rsidRPr="000220C2">
        <w:rPr>
          <w:rFonts w:cstheme="minorHAnsi"/>
          <w:sz w:val="24"/>
          <w:szCs w:val="24"/>
        </w:rPr>
        <w:t xml:space="preserve"> se na prihode iz proračuna Grada Čakovca. </w:t>
      </w:r>
    </w:p>
    <w:p w:rsidR="000B4239" w:rsidRPr="000220C2" w:rsidRDefault="000B4239" w:rsidP="00D4383B">
      <w:pPr>
        <w:jc w:val="both"/>
        <w:rPr>
          <w:rFonts w:cstheme="minorHAnsi"/>
          <w:sz w:val="24"/>
          <w:szCs w:val="24"/>
        </w:rPr>
      </w:pPr>
      <w:r w:rsidRPr="000220C2">
        <w:rPr>
          <w:rFonts w:cstheme="minorHAnsi"/>
          <w:sz w:val="24"/>
          <w:szCs w:val="24"/>
        </w:rPr>
        <w:t xml:space="preserve">Sredstva decentraliziranih funkcija osigurana su iz proračuna Grada u iznosu od </w:t>
      </w:r>
      <w:r w:rsidR="00096B42">
        <w:rPr>
          <w:rFonts w:cstheme="minorHAnsi"/>
          <w:sz w:val="24"/>
          <w:szCs w:val="24"/>
        </w:rPr>
        <w:t>77.585</w:t>
      </w:r>
      <w:r w:rsidR="00D4383B" w:rsidRPr="000220C2">
        <w:rPr>
          <w:rFonts w:cstheme="minorHAnsi"/>
          <w:sz w:val="24"/>
          <w:szCs w:val="24"/>
        </w:rPr>
        <w:t xml:space="preserve"> eur</w:t>
      </w:r>
      <w:r w:rsidR="003F3AC9">
        <w:rPr>
          <w:rFonts w:cstheme="minorHAnsi"/>
          <w:sz w:val="24"/>
          <w:szCs w:val="24"/>
        </w:rPr>
        <w:t>a</w:t>
      </w:r>
      <w:r w:rsidRPr="000220C2">
        <w:rPr>
          <w:rFonts w:cstheme="minorHAnsi"/>
          <w:sz w:val="24"/>
          <w:szCs w:val="24"/>
        </w:rPr>
        <w:t xml:space="preserve"> za materijalne rashode, investicijsko ulaganje i nabavu nefinancijske imovine škole. Iz proračuna Grada Čakovca također se financira i projekt Pomoćnici u nastavi u udjelu od 15% ukupne vrijednosti projekta</w:t>
      </w:r>
      <w:r w:rsidR="000C42D4" w:rsidRPr="000220C2">
        <w:rPr>
          <w:rFonts w:cstheme="minorHAnsi"/>
          <w:sz w:val="24"/>
          <w:szCs w:val="24"/>
        </w:rPr>
        <w:t>. Grad Čakovec samostalno</w:t>
      </w:r>
      <w:r w:rsidR="006819BB" w:rsidRPr="000220C2">
        <w:rPr>
          <w:rFonts w:cstheme="minorHAnsi"/>
          <w:sz w:val="24"/>
          <w:szCs w:val="24"/>
        </w:rPr>
        <w:t xml:space="preserve">, </w:t>
      </w:r>
      <w:r w:rsidR="00243057" w:rsidRPr="000220C2">
        <w:rPr>
          <w:rFonts w:cstheme="minorHAnsi"/>
          <w:sz w:val="24"/>
          <w:szCs w:val="24"/>
        </w:rPr>
        <w:t xml:space="preserve">u potpunosti financira </w:t>
      </w:r>
      <w:r w:rsidR="006819BB" w:rsidRPr="000220C2">
        <w:rPr>
          <w:rFonts w:cstheme="minorHAnsi"/>
          <w:sz w:val="24"/>
          <w:szCs w:val="24"/>
        </w:rPr>
        <w:t xml:space="preserve"> i </w:t>
      </w:r>
      <w:r w:rsidR="00997E2F" w:rsidRPr="000220C2">
        <w:rPr>
          <w:rFonts w:cstheme="minorHAnsi"/>
          <w:sz w:val="24"/>
          <w:szCs w:val="24"/>
        </w:rPr>
        <w:t xml:space="preserve"> </w:t>
      </w:r>
      <w:r w:rsidR="006819BB" w:rsidRPr="000220C2">
        <w:rPr>
          <w:rFonts w:cstheme="minorHAnsi"/>
          <w:sz w:val="24"/>
          <w:szCs w:val="24"/>
        </w:rPr>
        <w:t>dodatn</w:t>
      </w:r>
      <w:r w:rsidR="00096B42">
        <w:rPr>
          <w:rFonts w:cstheme="minorHAnsi"/>
          <w:sz w:val="24"/>
          <w:szCs w:val="24"/>
        </w:rPr>
        <w:t xml:space="preserve">e </w:t>
      </w:r>
      <w:r w:rsidR="006819BB" w:rsidRPr="000220C2">
        <w:rPr>
          <w:rFonts w:cstheme="minorHAnsi"/>
          <w:sz w:val="24"/>
          <w:szCs w:val="24"/>
        </w:rPr>
        <w:t>pomoćnik</w:t>
      </w:r>
      <w:r w:rsidR="00096B42">
        <w:rPr>
          <w:rFonts w:cstheme="minorHAnsi"/>
          <w:sz w:val="24"/>
          <w:szCs w:val="24"/>
        </w:rPr>
        <w:t>e</w:t>
      </w:r>
      <w:r w:rsidR="006819BB" w:rsidRPr="000220C2">
        <w:rPr>
          <w:rFonts w:cstheme="minorHAnsi"/>
          <w:sz w:val="24"/>
          <w:szCs w:val="24"/>
        </w:rPr>
        <w:t xml:space="preserve"> u </w:t>
      </w:r>
      <w:r w:rsidR="00997E2F" w:rsidRPr="000220C2">
        <w:rPr>
          <w:rFonts w:cstheme="minorHAnsi"/>
          <w:sz w:val="24"/>
          <w:szCs w:val="24"/>
        </w:rPr>
        <w:t xml:space="preserve">nastavi kako bi zadovoljio ukupne potrebe škole za pomoćnicima u nastavi. </w:t>
      </w:r>
      <w:r w:rsidRPr="000220C2">
        <w:rPr>
          <w:rFonts w:cstheme="minorHAnsi"/>
          <w:sz w:val="24"/>
          <w:szCs w:val="24"/>
        </w:rPr>
        <w:t xml:space="preserve">Opći prihodi i primici iz financijskog plana </w:t>
      </w:r>
      <w:r w:rsidR="00D4383B" w:rsidRPr="000220C2">
        <w:rPr>
          <w:rFonts w:cstheme="minorHAnsi"/>
          <w:sz w:val="24"/>
          <w:szCs w:val="24"/>
        </w:rPr>
        <w:t>podrazumijevaju</w:t>
      </w:r>
      <w:r w:rsidRPr="000220C2">
        <w:rPr>
          <w:rFonts w:cstheme="minorHAnsi"/>
          <w:sz w:val="24"/>
          <w:szCs w:val="24"/>
        </w:rPr>
        <w:t xml:space="preserve"> i sredstva za usluge e – Tehničara, </w:t>
      </w:r>
      <w:r w:rsidRPr="000220C2">
        <w:rPr>
          <w:rFonts w:cstheme="minorHAnsi"/>
          <w:sz w:val="24"/>
          <w:szCs w:val="24"/>
        </w:rPr>
        <w:lastRenderedPageBreak/>
        <w:t xml:space="preserve">nabavu drugih obrazovnih materijala za učenike, </w:t>
      </w:r>
      <w:r w:rsidR="00997E2F" w:rsidRPr="000220C2">
        <w:rPr>
          <w:rFonts w:cstheme="minorHAnsi"/>
          <w:sz w:val="24"/>
          <w:szCs w:val="24"/>
        </w:rPr>
        <w:t>sredstva za isplatu naknada učiteljima koji predaju građanski odgoj te sredstva za provedbu projekata putem javnog poziva</w:t>
      </w:r>
      <w:r w:rsidR="00096B42">
        <w:rPr>
          <w:rFonts w:cstheme="minorHAnsi"/>
          <w:sz w:val="24"/>
          <w:szCs w:val="24"/>
        </w:rPr>
        <w:t>.  Decentralizirana sredstva uvećana su u odnosu na plan 2024. godine Odlukom Grada, a II. Izmjena financijskog plana za 2024 godinu uvećani su planirani rashodi za troškove zaposlenih što podrazumijeva naknade za prijevoz na službenim putovanjima</w:t>
      </w:r>
      <w:r w:rsidR="00B85E9D">
        <w:rPr>
          <w:rFonts w:cstheme="minorHAnsi"/>
          <w:sz w:val="24"/>
          <w:szCs w:val="24"/>
        </w:rPr>
        <w:t xml:space="preserve">. Također su uvećani i rashodi za zdravstvene usluge, a odnose ne najvećim djelom na rashode za zdravstvene preglede djelatnika koji 2024. iznose 160,00 po osobi što je značajno povećanje u odnosu na prethodna razdoblja. Iz tog razloga umanjeni su rashodi sitnog inventara da bi sredstva bila raspoređena na druga konta. </w:t>
      </w:r>
    </w:p>
    <w:p w:rsidR="000B4239" w:rsidRPr="000220C2" w:rsidRDefault="000B4239" w:rsidP="00D4383B">
      <w:pPr>
        <w:jc w:val="both"/>
        <w:rPr>
          <w:rFonts w:cstheme="minorHAnsi"/>
          <w:sz w:val="24"/>
          <w:szCs w:val="24"/>
        </w:rPr>
      </w:pPr>
    </w:p>
    <w:p w:rsidR="000B4239" w:rsidRPr="000220C2" w:rsidRDefault="000B4239" w:rsidP="00D4383B">
      <w:pPr>
        <w:jc w:val="both"/>
        <w:rPr>
          <w:rFonts w:cstheme="minorHAnsi"/>
          <w:i/>
          <w:sz w:val="24"/>
          <w:szCs w:val="24"/>
        </w:rPr>
      </w:pPr>
      <w:r w:rsidRPr="000220C2">
        <w:rPr>
          <w:rFonts w:cstheme="minorHAnsi"/>
          <w:i/>
          <w:sz w:val="24"/>
          <w:szCs w:val="24"/>
        </w:rPr>
        <w:t>2. Pomoći iz nenadležnih proračuna</w:t>
      </w:r>
    </w:p>
    <w:p w:rsidR="000B4239" w:rsidRPr="000220C2" w:rsidRDefault="000B4239" w:rsidP="00D4383B">
      <w:pPr>
        <w:jc w:val="both"/>
        <w:rPr>
          <w:rFonts w:cstheme="minorHAnsi"/>
          <w:sz w:val="24"/>
          <w:szCs w:val="24"/>
        </w:rPr>
      </w:pPr>
      <w:r w:rsidRPr="000220C2">
        <w:rPr>
          <w:rFonts w:cstheme="minorHAnsi"/>
          <w:sz w:val="24"/>
          <w:szCs w:val="24"/>
        </w:rPr>
        <w:t xml:space="preserve">OŠ </w:t>
      </w:r>
      <w:proofErr w:type="spellStart"/>
      <w:r w:rsidRPr="000220C2">
        <w:rPr>
          <w:rFonts w:cstheme="minorHAnsi"/>
          <w:sz w:val="24"/>
          <w:szCs w:val="24"/>
        </w:rPr>
        <w:t>Kuršanec</w:t>
      </w:r>
      <w:proofErr w:type="spellEnd"/>
      <w:r w:rsidRPr="000220C2">
        <w:rPr>
          <w:rFonts w:cstheme="minorHAnsi"/>
          <w:sz w:val="24"/>
          <w:szCs w:val="24"/>
        </w:rPr>
        <w:t xml:space="preserve"> iz Državnog proračuna ostvaruje prihode za plaće djelatnika i ostala prava propisana TKU, GKU i ZOR-u</w:t>
      </w:r>
      <w:r w:rsidR="00997E2F" w:rsidRPr="000220C2">
        <w:rPr>
          <w:rFonts w:cstheme="minorHAnsi"/>
          <w:sz w:val="24"/>
          <w:szCs w:val="24"/>
        </w:rPr>
        <w:t xml:space="preserve"> (jubilarne nagrade, pomoći za dugotrajna bolovanja, regres, božićnica, </w:t>
      </w:r>
      <w:proofErr w:type="spellStart"/>
      <w:r w:rsidR="00997E2F" w:rsidRPr="000220C2">
        <w:rPr>
          <w:rFonts w:cstheme="minorHAnsi"/>
          <w:sz w:val="24"/>
          <w:szCs w:val="24"/>
        </w:rPr>
        <w:t>uskrsnica</w:t>
      </w:r>
      <w:proofErr w:type="spellEnd"/>
      <w:r w:rsidR="00997E2F" w:rsidRPr="000220C2">
        <w:rPr>
          <w:rFonts w:cstheme="minorHAnsi"/>
          <w:sz w:val="24"/>
          <w:szCs w:val="24"/>
        </w:rPr>
        <w:t>)</w:t>
      </w:r>
      <w:r w:rsidRPr="000220C2">
        <w:rPr>
          <w:rFonts w:cstheme="minorHAnsi"/>
          <w:sz w:val="24"/>
          <w:szCs w:val="24"/>
        </w:rPr>
        <w:t>.</w:t>
      </w:r>
      <w:r w:rsidR="00CD4628" w:rsidRPr="000220C2">
        <w:rPr>
          <w:rFonts w:cstheme="minorHAnsi"/>
          <w:sz w:val="24"/>
          <w:szCs w:val="24"/>
        </w:rPr>
        <w:t xml:space="preserve"> </w:t>
      </w:r>
      <w:r w:rsidR="002908A4" w:rsidRPr="000220C2">
        <w:rPr>
          <w:rFonts w:cstheme="minorHAnsi"/>
          <w:sz w:val="24"/>
          <w:szCs w:val="24"/>
        </w:rPr>
        <w:t xml:space="preserve">Iz </w:t>
      </w:r>
      <w:r w:rsidR="00D4383B" w:rsidRPr="000220C2">
        <w:rPr>
          <w:rFonts w:cstheme="minorHAnsi"/>
          <w:sz w:val="24"/>
          <w:szCs w:val="24"/>
        </w:rPr>
        <w:t xml:space="preserve"> Državnog proračuna </w:t>
      </w:r>
      <w:r w:rsidR="002908A4" w:rsidRPr="000220C2">
        <w:rPr>
          <w:rFonts w:cstheme="minorHAnsi"/>
          <w:sz w:val="24"/>
          <w:szCs w:val="24"/>
        </w:rPr>
        <w:t>Š</w:t>
      </w:r>
      <w:r w:rsidR="00D4383B" w:rsidRPr="000220C2">
        <w:rPr>
          <w:rFonts w:cstheme="minorHAnsi"/>
          <w:sz w:val="24"/>
          <w:szCs w:val="24"/>
        </w:rPr>
        <w:t>kola ostvaruje sredstva za sufinanciranje Škole u prirodi, nabave udžbenika za učenike</w:t>
      </w:r>
      <w:r w:rsidR="00997E2F" w:rsidRPr="000220C2">
        <w:rPr>
          <w:rFonts w:cstheme="minorHAnsi"/>
          <w:sz w:val="24"/>
          <w:szCs w:val="24"/>
        </w:rPr>
        <w:t>. Također, iz Državnog proračuna u preostalom 15postotnom udjelu financira se projekt pomoćnici u nastavi. od 2023. pa nadalje država je preuzela potpuno financiranje školskih obroka za sve učenike škole.</w:t>
      </w:r>
      <w:r w:rsidR="00B85E9D">
        <w:rPr>
          <w:rFonts w:cstheme="minorHAnsi"/>
          <w:sz w:val="24"/>
          <w:szCs w:val="24"/>
        </w:rPr>
        <w:t xml:space="preserve"> S obzirom na donošenje nove Uredbe o koeficijentima, II. izmjenama i dopunama financijaškog plana za 2024. uvećani su prihodi i rashodi za plaće djelatnika, kao i pripadajući doprinosi. Također uvećan je i iznos za plaće pomoćnika u nastavi iz razloga što ih škola od rujna 2024. zapošljava njih 14, a satnica pomoćnika u nastavi je uvećana od školske godine 2024./2025. Umanjeni su planirani prihodi i rashodi za nabavu udžbenika u odnosu na prvotni plan (iznos ovisi o broju učenika, naknadno formiranim cijenama udžbenika, rabatu dobavljača i </w:t>
      </w:r>
      <w:proofErr w:type="spellStart"/>
      <w:r w:rsidR="00B85E9D">
        <w:rPr>
          <w:rFonts w:cstheme="minorHAnsi"/>
          <w:sz w:val="24"/>
          <w:szCs w:val="24"/>
        </w:rPr>
        <w:t>sl</w:t>
      </w:r>
      <w:proofErr w:type="spellEnd"/>
      <w:r w:rsidR="00B85E9D">
        <w:rPr>
          <w:rFonts w:cstheme="minorHAnsi"/>
          <w:sz w:val="24"/>
          <w:szCs w:val="24"/>
        </w:rPr>
        <w:t>)</w:t>
      </w:r>
    </w:p>
    <w:p w:rsidR="00D4383B" w:rsidRPr="000220C2" w:rsidRDefault="00D4383B" w:rsidP="00D4383B">
      <w:pPr>
        <w:jc w:val="both"/>
        <w:rPr>
          <w:rFonts w:cstheme="minorHAnsi"/>
          <w:sz w:val="24"/>
          <w:szCs w:val="24"/>
        </w:rPr>
      </w:pPr>
    </w:p>
    <w:p w:rsidR="00D4383B" w:rsidRPr="000220C2" w:rsidRDefault="00D4383B" w:rsidP="00D4383B">
      <w:pPr>
        <w:jc w:val="both"/>
        <w:rPr>
          <w:rFonts w:cstheme="minorHAnsi"/>
          <w:i/>
          <w:sz w:val="24"/>
          <w:szCs w:val="24"/>
        </w:rPr>
      </w:pPr>
      <w:r w:rsidRPr="000220C2">
        <w:rPr>
          <w:rFonts w:cstheme="minorHAnsi"/>
          <w:i/>
          <w:sz w:val="24"/>
          <w:szCs w:val="24"/>
        </w:rPr>
        <w:t>3. Prihodi za posebne namjene</w:t>
      </w:r>
    </w:p>
    <w:p w:rsidR="00B85E9D" w:rsidRPr="000220C2" w:rsidRDefault="00D4383B" w:rsidP="00D4383B">
      <w:pPr>
        <w:jc w:val="both"/>
        <w:rPr>
          <w:rFonts w:cstheme="minorHAnsi"/>
          <w:sz w:val="24"/>
          <w:szCs w:val="24"/>
        </w:rPr>
      </w:pPr>
      <w:r w:rsidRPr="000220C2">
        <w:rPr>
          <w:rFonts w:cstheme="minorHAnsi"/>
          <w:sz w:val="24"/>
          <w:szCs w:val="24"/>
        </w:rPr>
        <w:t>Prihodi za školsku kuhinju naplaćuju se od djelatnika škole u iznosu od 1,</w:t>
      </w:r>
      <w:r w:rsidR="00997E2F" w:rsidRPr="000220C2">
        <w:rPr>
          <w:rFonts w:cstheme="minorHAnsi"/>
          <w:sz w:val="24"/>
          <w:szCs w:val="24"/>
        </w:rPr>
        <w:t>40</w:t>
      </w:r>
      <w:r w:rsidR="00A94B6D">
        <w:rPr>
          <w:rFonts w:cstheme="minorHAnsi"/>
          <w:sz w:val="24"/>
          <w:szCs w:val="24"/>
        </w:rPr>
        <w:t xml:space="preserve"> </w:t>
      </w:r>
      <w:r w:rsidRPr="000220C2">
        <w:rPr>
          <w:rFonts w:cstheme="minorHAnsi"/>
          <w:sz w:val="24"/>
          <w:szCs w:val="24"/>
        </w:rPr>
        <w:t>eura po obroku. Iz spomenutih prihod</w:t>
      </w:r>
      <w:r w:rsidR="002908A4" w:rsidRPr="000220C2">
        <w:rPr>
          <w:rFonts w:cstheme="minorHAnsi"/>
          <w:sz w:val="24"/>
          <w:szCs w:val="24"/>
        </w:rPr>
        <w:t>a</w:t>
      </w:r>
      <w:r w:rsidRPr="000220C2">
        <w:rPr>
          <w:rFonts w:cstheme="minorHAnsi"/>
          <w:sz w:val="24"/>
          <w:szCs w:val="24"/>
        </w:rPr>
        <w:t xml:space="preserve"> financira se nabava namirnica, sredstva za čišćenje, opremanje i održavanje školske kuhinje.</w:t>
      </w:r>
      <w:r w:rsidR="00997E2F" w:rsidRPr="000220C2">
        <w:rPr>
          <w:rFonts w:cstheme="minorHAnsi"/>
          <w:sz w:val="24"/>
          <w:szCs w:val="24"/>
        </w:rPr>
        <w:t xml:space="preserve"> financijski plan na kontu prihoda za posebne namjene evidentira i prihode za izlete učenika što se u najvećoj mjeri odnosi na prijevoz učenika na terensku nastavu tokom godine.</w:t>
      </w:r>
      <w:r w:rsidR="00B85E9D">
        <w:rPr>
          <w:rFonts w:cstheme="minorHAnsi"/>
          <w:sz w:val="24"/>
          <w:szCs w:val="24"/>
        </w:rPr>
        <w:t xml:space="preserve"> Ukupni iznos prihoda za posebne namjene umanjen je u odnosnu na plan jer nema realiziranih izleta za učenike koji se organiziraju preko škole. </w:t>
      </w:r>
    </w:p>
    <w:p w:rsidR="00A94B6D" w:rsidRPr="000220C2" w:rsidRDefault="00A94B6D" w:rsidP="00D4383B">
      <w:pPr>
        <w:jc w:val="both"/>
        <w:rPr>
          <w:rFonts w:cstheme="minorHAnsi"/>
          <w:sz w:val="24"/>
          <w:szCs w:val="24"/>
        </w:rPr>
      </w:pPr>
      <w:bookmarkStart w:id="1" w:name="_GoBack"/>
      <w:bookmarkEnd w:id="1"/>
    </w:p>
    <w:p w:rsidR="00997E2F" w:rsidRPr="000220C2" w:rsidRDefault="00997E2F" w:rsidP="00D4383B">
      <w:pPr>
        <w:jc w:val="both"/>
        <w:rPr>
          <w:rFonts w:eastAsia="Times New Roman" w:cstheme="minorHAnsi"/>
          <w:i/>
          <w:color w:val="000000"/>
          <w:sz w:val="24"/>
          <w:szCs w:val="24"/>
          <w:lang w:eastAsia="hr-HR"/>
        </w:rPr>
      </w:pPr>
      <w:r w:rsidRPr="000220C2">
        <w:rPr>
          <w:rFonts w:cstheme="minorHAnsi"/>
          <w:sz w:val="24"/>
          <w:szCs w:val="24"/>
        </w:rPr>
        <w:t xml:space="preserve">4. </w:t>
      </w:r>
      <w:r w:rsidRPr="000220C2">
        <w:rPr>
          <w:rFonts w:eastAsia="Times New Roman" w:cstheme="minorHAnsi"/>
          <w:i/>
          <w:color w:val="000000"/>
          <w:sz w:val="24"/>
          <w:szCs w:val="24"/>
          <w:lang w:eastAsia="hr-HR"/>
        </w:rPr>
        <w:t>Tekuće pomoći iz državnog proračuna temeljem prijenosa EU sredstava – 85% pomoćnici u nastavi</w:t>
      </w:r>
    </w:p>
    <w:p w:rsidR="00997E2F" w:rsidRDefault="00997E2F" w:rsidP="00D4383B">
      <w:pPr>
        <w:jc w:val="both"/>
        <w:rPr>
          <w:rFonts w:eastAsia="Times New Roman" w:cstheme="minorHAnsi"/>
          <w:color w:val="000000"/>
          <w:sz w:val="24"/>
          <w:szCs w:val="24"/>
          <w:lang w:eastAsia="hr-HR"/>
        </w:rPr>
      </w:pPr>
      <w:r w:rsidRPr="000220C2">
        <w:rPr>
          <w:rFonts w:eastAsia="Times New Roman" w:cstheme="minorHAnsi"/>
          <w:color w:val="000000"/>
          <w:sz w:val="24"/>
          <w:szCs w:val="24"/>
          <w:lang w:eastAsia="hr-HR"/>
        </w:rPr>
        <w:t>Tekuće pomoći iz državnog proračuna temeljem prijenosa EU sredstava odnose se na plaće pomoćnika u nastavi u 85% ukupnog iznosa projekta</w:t>
      </w:r>
      <w:r w:rsidR="00A94B6D">
        <w:rPr>
          <w:rFonts w:eastAsia="Times New Roman" w:cstheme="minorHAnsi"/>
          <w:color w:val="000000"/>
          <w:sz w:val="24"/>
          <w:szCs w:val="24"/>
          <w:lang w:eastAsia="hr-HR"/>
        </w:rPr>
        <w:t>. Sredstva su uvećana  II. izmjenama financijskog plana radi povećanja satnice pomoćnika u nastavi i uvođenja novih materijalnih prava za pomoćnike.</w:t>
      </w:r>
    </w:p>
    <w:p w:rsidR="00A94B6D" w:rsidRPr="000220C2" w:rsidRDefault="00A94B6D" w:rsidP="00D4383B">
      <w:pPr>
        <w:jc w:val="both"/>
        <w:rPr>
          <w:rFonts w:cstheme="minorHAnsi"/>
          <w:sz w:val="24"/>
          <w:szCs w:val="24"/>
        </w:rPr>
      </w:pPr>
    </w:p>
    <w:p w:rsidR="00997E2F" w:rsidRPr="000220C2" w:rsidRDefault="00997E2F" w:rsidP="00D4383B">
      <w:pPr>
        <w:jc w:val="both"/>
        <w:rPr>
          <w:rFonts w:cstheme="minorHAnsi"/>
          <w:sz w:val="24"/>
          <w:szCs w:val="24"/>
        </w:rPr>
      </w:pPr>
      <w:r w:rsidRPr="000220C2">
        <w:rPr>
          <w:rFonts w:cstheme="minorHAnsi"/>
          <w:sz w:val="24"/>
          <w:szCs w:val="24"/>
        </w:rPr>
        <w:lastRenderedPageBreak/>
        <w:t xml:space="preserve">U odnosu na </w:t>
      </w:r>
      <w:r w:rsidR="00A94B6D">
        <w:rPr>
          <w:rFonts w:cstheme="minorHAnsi"/>
          <w:sz w:val="24"/>
          <w:szCs w:val="24"/>
        </w:rPr>
        <w:t xml:space="preserve">Financijski plan za 2024. i </w:t>
      </w:r>
      <w:proofErr w:type="spellStart"/>
      <w:r w:rsidR="00A94B6D">
        <w:rPr>
          <w:rFonts w:cstheme="minorHAnsi"/>
          <w:sz w:val="24"/>
          <w:szCs w:val="24"/>
        </w:rPr>
        <w:t>I</w:t>
      </w:r>
      <w:proofErr w:type="spellEnd"/>
      <w:r w:rsidR="00A94B6D">
        <w:rPr>
          <w:rFonts w:cstheme="minorHAnsi"/>
          <w:sz w:val="24"/>
          <w:szCs w:val="24"/>
        </w:rPr>
        <w:t xml:space="preserve">. izmjene i dopune financijskog plana za 2024., II. izmjenama i dopunama financijskog plana za 2024. uvećani su ukupni prihodi i rashodi, u najvećoj mjeri radi povećanja naknada za plaće i materijalnih prava svih zaposlenika škole što je posljedica donašanja novog Temeljnog kolektivnog ugovora za zaposlenike u javnim službama, stupanja na snagu nove Uredbe o koeficijentima te novog Pravilnika o pomoćnicima u nastavi. </w:t>
      </w:r>
    </w:p>
    <w:p w:rsidR="000220C2" w:rsidRPr="000220C2" w:rsidRDefault="000220C2" w:rsidP="00D4383B">
      <w:pPr>
        <w:jc w:val="both"/>
        <w:rPr>
          <w:rFonts w:cstheme="minorHAnsi"/>
          <w:sz w:val="24"/>
          <w:szCs w:val="24"/>
        </w:rPr>
      </w:pPr>
    </w:p>
    <w:p w:rsidR="000220C2" w:rsidRPr="003F3AC9" w:rsidRDefault="000220C2" w:rsidP="00D4383B">
      <w:pPr>
        <w:jc w:val="both"/>
        <w:rPr>
          <w:rFonts w:cstheme="minorHAnsi"/>
          <w:i/>
          <w:sz w:val="24"/>
          <w:szCs w:val="24"/>
        </w:rPr>
      </w:pPr>
      <w:r w:rsidRPr="003F3AC9">
        <w:rPr>
          <w:rFonts w:cstheme="minorHAnsi"/>
          <w:i/>
          <w:sz w:val="24"/>
          <w:szCs w:val="24"/>
        </w:rPr>
        <w:t>POKAZATELJI USPJEŠNOSTI I TENDENCIJE ZA TROGODIŠNJE RAZDOBLJE</w:t>
      </w:r>
    </w:p>
    <w:p w:rsidR="000220C2" w:rsidRPr="003F3AC9" w:rsidRDefault="000220C2" w:rsidP="000220C2">
      <w:pPr>
        <w:rPr>
          <w:rFonts w:cstheme="minorHAnsi"/>
          <w:sz w:val="24"/>
          <w:szCs w:val="24"/>
        </w:rPr>
      </w:pPr>
      <w:r w:rsidRPr="003F3AC9">
        <w:rPr>
          <w:rFonts w:cstheme="minorHAnsi"/>
          <w:sz w:val="24"/>
          <w:szCs w:val="24"/>
        </w:rPr>
        <w:t>1. Osiguravanje pomoćnika u nastavi za učenike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148"/>
        <w:gridCol w:w="1104"/>
        <w:gridCol w:w="1136"/>
        <w:gridCol w:w="1126"/>
        <w:gridCol w:w="1136"/>
        <w:gridCol w:w="1136"/>
        <w:gridCol w:w="1136"/>
      </w:tblGrid>
      <w:tr w:rsidR="009E1432" w:rsidRPr="009E1432" w:rsidTr="00DC3C0E">
        <w:tc>
          <w:tcPr>
            <w:tcW w:w="1161" w:type="dxa"/>
          </w:tcPr>
          <w:p w:rsidR="000220C2" w:rsidRPr="009E1432" w:rsidRDefault="000220C2" w:rsidP="00DC3C0E">
            <w:pPr>
              <w:rPr>
                <w:rFonts w:cstheme="minorHAnsi"/>
                <w:sz w:val="20"/>
                <w:szCs w:val="20"/>
              </w:rPr>
            </w:pPr>
            <w:r w:rsidRPr="009E1432">
              <w:rPr>
                <w:rFonts w:cstheme="minorHAnsi"/>
                <w:sz w:val="20"/>
                <w:szCs w:val="20"/>
              </w:rPr>
              <w:t>Pokazatelj rezultata</w:t>
            </w:r>
          </w:p>
        </w:tc>
        <w:tc>
          <w:tcPr>
            <w:tcW w:w="1161" w:type="dxa"/>
          </w:tcPr>
          <w:p w:rsidR="000220C2" w:rsidRPr="009E1432" w:rsidRDefault="000220C2" w:rsidP="00DC3C0E">
            <w:pPr>
              <w:rPr>
                <w:rFonts w:cstheme="minorHAnsi"/>
                <w:sz w:val="20"/>
                <w:szCs w:val="20"/>
              </w:rPr>
            </w:pPr>
            <w:r w:rsidRPr="009E1432">
              <w:rPr>
                <w:rFonts w:cstheme="minorHAnsi"/>
                <w:sz w:val="20"/>
                <w:szCs w:val="20"/>
              </w:rPr>
              <w:t>Definicija</w:t>
            </w:r>
          </w:p>
        </w:tc>
        <w:tc>
          <w:tcPr>
            <w:tcW w:w="1161" w:type="dxa"/>
          </w:tcPr>
          <w:p w:rsidR="000220C2" w:rsidRPr="009E1432" w:rsidRDefault="000220C2" w:rsidP="00DC3C0E">
            <w:pPr>
              <w:rPr>
                <w:rFonts w:cstheme="minorHAnsi"/>
                <w:sz w:val="20"/>
                <w:szCs w:val="20"/>
              </w:rPr>
            </w:pPr>
            <w:r w:rsidRPr="009E1432">
              <w:rPr>
                <w:rFonts w:cstheme="minorHAnsi"/>
                <w:sz w:val="20"/>
                <w:szCs w:val="20"/>
              </w:rPr>
              <w:t>Jedinica</w:t>
            </w:r>
          </w:p>
        </w:tc>
        <w:tc>
          <w:tcPr>
            <w:tcW w:w="1161" w:type="dxa"/>
          </w:tcPr>
          <w:p w:rsidR="000220C2" w:rsidRPr="009E1432" w:rsidRDefault="000220C2" w:rsidP="00DC3C0E">
            <w:pPr>
              <w:rPr>
                <w:rFonts w:cstheme="minorHAnsi"/>
                <w:sz w:val="20"/>
                <w:szCs w:val="20"/>
              </w:rPr>
            </w:pPr>
            <w:r w:rsidRPr="009E1432">
              <w:rPr>
                <w:rFonts w:cstheme="minorHAnsi"/>
                <w:sz w:val="20"/>
                <w:szCs w:val="20"/>
              </w:rPr>
              <w:t>Polazna vrijednost</w:t>
            </w:r>
          </w:p>
          <w:p w:rsidR="000220C2" w:rsidRPr="009E1432" w:rsidRDefault="000220C2" w:rsidP="00DC3C0E">
            <w:pPr>
              <w:rPr>
                <w:rFonts w:cstheme="minorHAnsi"/>
                <w:sz w:val="20"/>
                <w:szCs w:val="20"/>
              </w:rPr>
            </w:pPr>
            <w:r w:rsidRPr="009E1432">
              <w:rPr>
                <w:rFonts w:cstheme="minorHAnsi"/>
                <w:sz w:val="20"/>
                <w:szCs w:val="20"/>
              </w:rPr>
              <w:t>2023.</w:t>
            </w:r>
          </w:p>
        </w:tc>
        <w:tc>
          <w:tcPr>
            <w:tcW w:w="1161" w:type="dxa"/>
          </w:tcPr>
          <w:p w:rsidR="000220C2" w:rsidRPr="009E1432" w:rsidRDefault="000220C2" w:rsidP="00DC3C0E">
            <w:pPr>
              <w:rPr>
                <w:rFonts w:cstheme="minorHAnsi"/>
                <w:sz w:val="20"/>
                <w:szCs w:val="20"/>
              </w:rPr>
            </w:pPr>
            <w:r w:rsidRPr="009E1432">
              <w:rPr>
                <w:rFonts w:cstheme="minorHAnsi"/>
                <w:sz w:val="20"/>
                <w:szCs w:val="20"/>
              </w:rPr>
              <w:t>Izvor podataka</w:t>
            </w:r>
          </w:p>
        </w:tc>
        <w:tc>
          <w:tcPr>
            <w:tcW w:w="1161" w:type="dxa"/>
          </w:tcPr>
          <w:p w:rsidR="000220C2" w:rsidRPr="009E1432" w:rsidRDefault="009E1432" w:rsidP="00DC3C0E">
            <w:pPr>
              <w:rPr>
                <w:rFonts w:cstheme="minorHAnsi"/>
                <w:sz w:val="20"/>
                <w:szCs w:val="20"/>
              </w:rPr>
            </w:pPr>
            <w:r w:rsidRPr="009E1432">
              <w:rPr>
                <w:rFonts w:cstheme="minorHAnsi"/>
                <w:sz w:val="20"/>
                <w:szCs w:val="20"/>
              </w:rPr>
              <w:t>Ciljana vrijednost 2024.</w:t>
            </w:r>
          </w:p>
        </w:tc>
        <w:tc>
          <w:tcPr>
            <w:tcW w:w="1161" w:type="dxa"/>
          </w:tcPr>
          <w:p w:rsidR="009E1432" w:rsidRPr="009E1432" w:rsidRDefault="009E1432" w:rsidP="009E1432">
            <w:pPr>
              <w:rPr>
                <w:rFonts w:cstheme="minorHAnsi"/>
                <w:sz w:val="20"/>
                <w:szCs w:val="20"/>
              </w:rPr>
            </w:pPr>
            <w:r w:rsidRPr="009E1432">
              <w:rPr>
                <w:rFonts w:cstheme="minorHAnsi"/>
                <w:sz w:val="20"/>
                <w:szCs w:val="20"/>
              </w:rPr>
              <w:t>Ciljana vrijednost</w:t>
            </w:r>
          </w:p>
          <w:p w:rsidR="000220C2" w:rsidRPr="009E1432" w:rsidRDefault="009E1432" w:rsidP="009E1432">
            <w:pPr>
              <w:rPr>
                <w:rFonts w:cstheme="minorHAnsi"/>
                <w:sz w:val="20"/>
                <w:szCs w:val="20"/>
              </w:rPr>
            </w:pPr>
            <w:r w:rsidRPr="009E1432">
              <w:rPr>
                <w:rFonts w:cstheme="minorHAnsi"/>
                <w:sz w:val="20"/>
                <w:szCs w:val="20"/>
              </w:rPr>
              <w:t>2025.</w:t>
            </w:r>
          </w:p>
        </w:tc>
        <w:tc>
          <w:tcPr>
            <w:tcW w:w="1161" w:type="dxa"/>
          </w:tcPr>
          <w:p w:rsidR="009E1432" w:rsidRPr="009E1432" w:rsidRDefault="009E1432" w:rsidP="009E1432">
            <w:pPr>
              <w:rPr>
                <w:rFonts w:cstheme="minorHAnsi"/>
                <w:sz w:val="20"/>
                <w:szCs w:val="20"/>
              </w:rPr>
            </w:pPr>
            <w:r w:rsidRPr="009E1432">
              <w:rPr>
                <w:rFonts w:cstheme="minorHAnsi"/>
                <w:sz w:val="20"/>
                <w:szCs w:val="20"/>
              </w:rPr>
              <w:t>Ciljana vrijednost</w:t>
            </w:r>
          </w:p>
          <w:p w:rsidR="000220C2" w:rsidRPr="009E1432" w:rsidRDefault="009E1432" w:rsidP="009E1432">
            <w:pPr>
              <w:rPr>
                <w:rFonts w:cstheme="minorHAnsi"/>
                <w:sz w:val="20"/>
                <w:szCs w:val="20"/>
              </w:rPr>
            </w:pPr>
            <w:r w:rsidRPr="009E1432">
              <w:rPr>
                <w:rFonts w:cstheme="minorHAnsi"/>
                <w:sz w:val="20"/>
                <w:szCs w:val="20"/>
              </w:rPr>
              <w:t>2026.</w:t>
            </w:r>
          </w:p>
        </w:tc>
      </w:tr>
      <w:tr w:rsidR="009E1432" w:rsidRPr="009E1432" w:rsidTr="00DC3C0E">
        <w:tc>
          <w:tcPr>
            <w:tcW w:w="1161" w:type="dxa"/>
          </w:tcPr>
          <w:p w:rsidR="000220C2" w:rsidRPr="009E1432" w:rsidRDefault="000220C2" w:rsidP="00DC3C0E">
            <w:pPr>
              <w:rPr>
                <w:rFonts w:cstheme="minorHAnsi"/>
                <w:sz w:val="20"/>
                <w:szCs w:val="20"/>
              </w:rPr>
            </w:pPr>
            <w:r w:rsidRPr="009E1432">
              <w:rPr>
                <w:rFonts w:cstheme="minorHAnsi"/>
                <w:sz w:val="20"/>
                <w:szCs w:val="20"/>
              </w:rPr>
              <w:t>Broj učenika kojima je osiguran pomoćnik u nastavi</w:t>
            </w:r>
          </w:p>
        </w:tc>
        <w:tc>
          <w:tcPr>
            <w:tcW w:w="1161" w:type="dxa"/>
          </w:tcPr>
          <w:p w:rsidR="000220C2" w:rsidRPr="009E1432" w:rsidRDefault="009E1432" w:rsidP="00DC3C0E">
            <w:pPr>
              <w:rPr>
                <w:rFonts w:cstheme="minorHAnsi"/>
                <w:sz w:val="20"/>
                <w:szCs w:val="20"/>
              </w:rPr>
            </w:pPr>
            <w:r w:rsidRPr="009E1432">
              <w:rPr>
                <w:rStyle w:val="apple-converted-space"/>
                <w:color w:val="252525"/>
                <w:sz w:val="20"/>
                <w:szCs w:val="20"/>
                <w:shd w:val="clear" w:color="auto" w:fill="FFFFFF"/>
              </w:rPr>
              <w:t>Pružanje pomoći učenicima s teškoćama u razvoju</w:t>
            </w:r>
          </w:p>
        </w:tc>
        <w:tc>
          <w:tcPr>
            <w:tcW w:w="1161" w:type="dxa"/>
          </w:tcPr>
          <w:p w:rsidR="000220C2" w:rsidRPr="009E1432" w:rsidRDefault="000220C2" w:rsidP="00DC3C0E">
            <w:pPr>
              <w:rPr>
                <w:rFonts w:cstheme="minorHAnsi"/>
                <w:sz w:val="20"/>
                <w:szCs w:val="20"/>
              </w:rPr>
            </w:pPr>
            <w:r w:rsidRPr="009E1432">
              <w:rPr>
                <w:rFonts w:cstheme="minorHAnsi"/>
                <w:sz w:val="20"/>
                <w:szCs w:val="20"/>
              </w:rPr>
              <w:t>Broj učenika</w:t>
            </w:r>
          </w:p>
        </w:tc>
        <w:tc>
          <w:tcPr>
            <w:tcW w:w="1161" w:type="dxa"/>
          </w:tcPr>
          <w:p w:rsidR="000220C2" w:rsidRPr="009E1432" w:rsidRDefault="000220C2" w:rsidP="00DC3C0E">
            <w:pPr>
              <w:rPr>
                <w:rFonts w:cstheme="minorHAnsi"/>
                <w:sz w:val="20"/>
                <w:szCs w:val="20"/>
              </w:rPr>
            </w:pPr>
            <w:r w:rsidRPr="009E1432">
              <w:rPr>
                <w:rFonts w:cstheme="minorHAnsi"/>
                <w:sz w:val="20"/>
                <w:szCs w:val="20"/>
              </w:rPr>
              <w:t>7</w:t>
            </w:r>
          </w:p>
          <w:p w:rsidR="000220C2" w:rsidRPr="009E1432" w:rsidRDefault="000220C2" w:rsidP="00DC3C0E">
            <w:pPr>
              <w:rPr>
                <w:rFonts w:cstheme="minorHAnsi"/>
                <w:sz w:val="20"/>
                <w:szCs w:val="20"/>
              </w:rPr>
            </w:pPr>
          </w:p>
        </w:tc>
        <w:tc>
          <w:tcPr>
            <w:tcW w:w="1161" w:type="dxa"/>
          </w:tcPr>
          <w:p w:rsidR="000220C2" w:rsidRPr="009E1432" w:rsidRDefault="000220C2" w:rsidP="00DC3C0E">
            <w:pPr>
              <w:rPr>
                <w:rFonts w:cstheme="minorHAnsi"/>
                <w:sz w:val="20"/>
                <w:szCs w:val="20"/>
              </w:rPr>
            </w:pPr>
            <w:r w:rsidRPr="009E1432">
              <w:rPr>
                <w:rFonts w:cstheme="minorHAnsi"/>
                <w:sz w:val="20"/>
                <w:szCs w:val="20"/>
              </w:rPr>
              <w:t xml:space="preserve">GPP ŠKOLE </w:t>
            </w:r>
          </w:p>
        </w:tc>
        <w:tc>
          <w:tcPr>
            <w:tcW w:w="1161" w:type="dxa"/>
          </w:tcPr>
          <w:p w:rsidR="000220C2" w:rsidRPr="009E1432" w:rsidRDefault="000220C2" w:rsidP="00DC3C0E">
            <w:pPr>
              <w:rPr>
                <w:rFonts w:cstheme="minorHAnsi"/>
                <w:sz w:val="20"/>
                <w:szCs w:val="20"/>
              </w:rPr>
            </w:pPr>
            <w:r w:rsidRPr="009E1432">
              <w:rPr>
                <w:rFonts w:cstheme="minorHAnsi"/>
                <w:sz w:val="20"/>
                <w:szCs w:val="20"/>
              </w:rPr>
              <w:t>12</w:t>
            </w:r>
          </w:p>
        </w:tc>
        <w:tc>
          <w:tcPr>
            <w:tcW w:w="1161" w:type="dxa"/>
          </w:tcPr>
          <w:p w:rsidR="000220C2" w:rsidRPr="009E1432" w:rsidRDefault="000220C2" w:rsidP="00DC3C0E">
            <w:pPr>
              <w:rPr>
                <w:rFonts w:cstheme="minorHAnsi"/>
                <w:sz w:val="20"/>
                <w:szCs w:val="20"/>
              </w:rPr>
            </w:pPr>
            <w:r w:rsidRPr="009E1432">
              <w:rPr>
                <w:rFonts w:cstheme="minorHAnsi"/>
                <w:sz w:val="20"/>
                <w:szCs w:val="20"/>
              </w:rPr>
              <w:t>12</w:t>
            </w:r>
          </w:p>
        </w:tc>
        <w:tc>
          <w:tcPr>
            <w:tcW w:w="1161" w:type="dxa"/>
          </w:tcPr>
          <w:p w:rsidR="000220C2" w:rsidRPr="009E1432" w:rsidRDefault="000220C2" w:rsidP="00DC3C0E">
            <w:pPr>
              <w:rPr>
                <w:rFonts w:cstheme="minorHAnsi"/>
                <w:sz w:val="20"/>
                <w:szCs w:val="20"/>
              </w:rPr>
            </w:pPr>
            <w:r w:rsidRPr="009E1432">
              <w:rPr>
                <w:rFonts w:cstheme="minorHAnsi"/>
                <w:sz w:val="20"/>
                <w:szCs w:val="20"/>
              </w:rPr>
              <w:t>12</w:t>
            </w:r>
          </w:p>
        </w:tc>
      </w:tr>
      <w:tr w:rsidR="000220C2" w:rsidRPr="009E1432" w:rsidTr="00DC3C0E">
        <w:tc>
          <w:tcPr>
            <w:tcW w:w="9288" w:type="dxa"/>
            <w:gridSpan w:val="8"/>
          </w:tcPr>
          <w:p w:rsidR="000220C2" w:rsidRPr="009E1432" w:rsidRDefault="000220C2" w:rsidP="00DC3C0E">
            <w:pPr>
              <w:rPr>
                <w:rFonts w:cstheme="minorHAnsi"/>
                <w:sz w:val="20"/>
                <w:szCs w:val="20"/>
              </w:rPr>
            </w:pPr>
            <w:r w:rsidRPr="009E1432">
              <w:rPr>
                <w:rFonts w:cstheme="minorHAnsi"/>
                <w:sz w:val="20"/>
                <w:szCs w:val="20"/>
              </w:rPr>
              <w:t>Cilj:</w:t>
            </w:r>
            <w:r w:rsidRPr="009E1432">
              <w:rPr>
                <w:rFonts w:cstheme="minorHAnsi"/>
                <w:color w:val="252525"/>
                <w:sz w:val="20"/>
                <w:szCs w:val="20"/>
                <w:shd w:val="clear" w:color="auto" w:fill="FFFFFF"/>
              </w:rPr>
              <w:t xml:space="preserve"> </w:t>
            </w:r>
            <w:r w:rsidR="003F3AC9">
              <w:rPr>
                <w:rFonts w:cstheme="minorHAnsi"/>
                <w:color w:val="252525"/>
                <w:sz w:val="20"/>
                <w:szCs w:val="20"/>
                <w:shd w:val="clear" w:color="auto" w:fill="FFFFFF"/>
              </w:rPr>
              <w:t>i</w:t>
            </w:r>
            <w:r w:rsidR="003F3AC9">
              <w:rPr>
                <w:rFonts w:cstheme="minorHAnsi"/>
                <w:sz w:val="20"/>
                <w:szCs w:val="20"/>
              </w:rPr>
              <w:t>ntegracija i socijalizacija djece s teškoćama u razvoju, pomoć djeci  u svim segmentima u školi</w:t>
            </w:r>
          </w:p>
        </w:tc>
      </w:tr>
    </w:tbl>
    <w:p w:rsidR="000220C2" w:rsidRPr="009E1432" w:rsidRDefault="000220C2" w:rsidP="00D4383B">
      <w:pPr>
        <w:jc w:val="both"/>
        <w:rPr>
          <w:rFonts w:cstheme="minorHAnsi"/>
          <w:sz w:val="20"/>
          <w:szCs w:val="20"/>
        </w:rPr>
      </w:pPr>
    </w:p>
    <w:p w:rsidR="000220C2" w:rsidRPr="003F3AC9" w:rsidRDefault="000220C2" w:rsidP="000220C2">
      <w:pPr>
        <w:rPr>
          <w:rFonts w:cstheme="minorHAnsi"/>
          <w:sz w:val="24"/>
          <w:szCs w:val="24"/>
        </w:rPr>
      </w:pPr>
      <w:r w:rsidRPr="003F3AC9">
        <w:rPr>
          <w:rFonts w:cstheme="minorHAnsi"/>
          <w:sz w:val="24"/>
          <w:szCs w:val="24"/>
        </w:rPr>
        <w:t>2. Pokazatelj o broju korisnika školske kuhinje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382"/>
        <w:gridCol w:w="1035"/>
        <w:gridCol w:w="1106"/>
        <w:gridCol w:w="1107"/>
        <w:gridCol w:w="1106"/>
        <w:gridCol w:w="1106"/>
        <w:gridCol w:w="1106"/>
      </w:tblGrid>
      <w:tr w:rsidR="009E1432" w:rsidRPr="009E1432" w:rsidTr="00DC3C0E">
        <w:tc>
          <w:tcPr>
            <w:tcW w:w="1161" w:type="dxa"/>
          </w:tcPr>
          <w:p w:rsidR="000220C2" w:rsidRPr="009E1432" w:rsidRDefault="000220C2" w:rsidP="00DC3C0E">
            <w:pPr>
              <w:rPr>
                <w:rFonts w:cstheme="minorHAnsi"/>
                <w:sz w:val="20"/>
                <w:szCs w:val="20"/>
              </w:rPr>
            </w:pPr>
            <w:r w:rsidRPr="009E1432">
              <w:rPr>
                <w:rFonts w:cstheme="minorHAnsi"/>
                <w:sz w:val="20"/>
                <w:szCs w:val="20"/>
              </w:rPr>
              <w:t>Pokazatelj rezultata</w:t>
            </w:r>
          </w:p>
        </w:tc>
        <w:tc>
          <w:tcPr>
            <w:tcW w:w="1161" w:type="dxa"/>
          </w:tcPr>
          <w:p w:rsidR="000220C2" w:rsidRPr="009E1432" w:rsidRDefault="000220C2" w:rsidP="00DC3C0E">
            <w:pPr>
              <w:rPr>
                <w:rFonts w:cstheme="minorHAnsi"/>
                <w:sz w:val="20"/>
                <w:szCs w:val="20"/>
              </w:rPr>
            </w:pPr>
            <w:r w:rsidRPr="009E1432">
              <w:rPr>
                <w:rFonts w:cstheme="minorHAnsi"/>
                <w:sz w:val="20"/>
                <w:szCs w:val="20"/>
              </w:rPr>
              <w:t>Definicija</w:t>
            </w:r>
          </w:p>
        </w:tc>
        <w:tc>
          <w:tcPr>
            <w:tcW w:w="1161" w:type="dxa"/>
          </w:tcPr>
          <w:p w:rsidR="000220C2" w:rsidRPr="009E1432" w:rsidRDefault="000220C2" w:rsidP="00DC3C0E">
            <w:pPr>
              <w:rPr>
                <w:rFonts w:cstheme="minorHAnsi"/>
                <w:sz w:val="20"/>
                <w:szCs w:val="20"/>
              </w:rPr>
            </w:pPr>
            <w:r w:rsidRPr="009E1432">
              <w:rPr>
                <w:rFonts w:cstheme="minorHAnsi"/>
                <w:sz w:val="20"/>
                <w:szCs w:val="20"/>
              </w:rPr>
              <w:t>Jedinica</w:t>
            </w:r>
          </w:p>
        </w:tc>
        <w:tc>
          <w:tcPr>
            <w:tcW w:w="1161" w:type="dxa"/>
          </w:tcPr>
          <w:p w:rsidR="000220C2" w:rsidRPr="009E1432" w:rsidRDefault="000220C2" w:rsidP="00DC3C0E">
            <w:pPr>
              <w:rPr>
                <w:rFonts w:cstheme="minorHAnsi"/>
                <w:sz w:val="20"/>
                <w:szCs w:val="20"/>
              </w:rPr>
            </w:pPr>
            <w:r w:rsidRPr="009E1432">
              <w:rPr>
                <w:rFonts w:cstheme="minorHAnsi"/>
                <w:sz w:val="20"/>
                <w:szCs w:val="20"/>
              </w:rPr>
              <w:t>Polazna vrijednost</w:t>
            </w:r>
          </w:p>
          <w:p w:rsidR="000220C2" w:rsidRPr="009E1432" w:rsidRDefault="000220C2" w:rsidP="00DC3C0E">
            <w:pPr>
              <w:rPr>
                <w:rFonts w:cstheme="minorHAnsi"/>
                <w:sz w:val="20"/>
                <w:szCs w:val="20"/>
              </w:rPr>
            </w:pPr>
            <w:r w:rsidRPr="009E1432">
              <w:rPr>
                <w:rFonts w:cstheme="minorHAnsi"/>
                <w:sz w:val="20"/>
                <w:szCs w:val="20"/>
              </w:rPr>
              <w:t>202</w:t>
            </w:r>
            <w:r w:rsidR="009E1432" w:rsidRPr="009E1432">
              <w:rPr>
                <w:rFonts w:cstheme="minorHAnsi"/>
                <w:sz w:val="20"/>
                <w:szCs w:val="20"/>
              </w:rPr>
              <w:t>3</w:t>
            </w:r>
            <w:r w:rsidRPr="009E1432">
              <w:rPr>
                <w:rFonts w:cstheme="minorHAnsi"/>
                <w:sz w:val="20"/>
                <w:szCs w:val="20"/>
              </w:rPr>
              <w:t>.</w:t>
            </w:r>
          </w:p>
        </w:tc>
        <w:tc>
          <w:tcPr>
            <w:tcW w:w="1161" w:type="dxa"/>
          </w:tcPr>
          <w:p w:rsidR="000220C2" w:rsidRPr="009E1432" w:rsidRDefault="000220C2" w:rsidP="00DC3C0E">
            <w:pPr>
              <w:rPr>
                <w:rFonts w:cstheme="minorHAnsi"/>
                <w:sz w:val="20"/>
                <w:szCs w:val="20"/>
              </w:rPr>
            </w:pPr>
            <w:r w:rsidRPr="009E1432">
              <w:rPr>
                <w:rFonts w:cstheme="minorHAnsi"/>
                <w:sz w:val="20"/>
                <w:szCs w:val="20"/>
              </w:rPr>
              <w:t>Izvor podataka</w:t>
            </w:r>
          </w:p>
        </w:tc>
        <w:tc>
          <w:tcPr>
            <w:tcW w:w="1161" w:type="dxa"/>
          </w:tcPr>
          <w:p w:rsidR="000220C2" w:rsidRPr="009E1432" w:rsidRDefault="000220C2" w:rsidP="00DC3C0E">
            <w:pPr>
              <w:rPr>
                <w:rFonts w:cstheme="minorHAnsi"/>
                <w:sz w:val="20"/>
                <w:szCs w:val="20"/>
              </w:rPr>
            </w:pPr>
            <w:r w:rsidRPr="009E1432">
              <w:rPr>
                <w:rFonts w:cstheme="minorHAnsi"/>
                <w:sz w:val="20"/>
                <w:szCs w:val="20"/>
              </w:rPr>
              <w:t xml:space="preserve">Ciljana vrijednost </w:t>
            </w:r>
            <w:r w:rsidR="009E1432" w:rsidRPr="009E1432">
              <w:rPr>
                <w:rFonts w:cstheme="minorHAnsi"/>
                <w:sz w:val="20"/>
                <w:szCs w:val="20"/>
              </w:rPr>
              <w:t>2024.</w:t>
            </w:r>
          </w:p>
        </w:tc>
        <w:tc>
          <w:tcPr>
            <w:tcW w:w="1161" w:type="dxa"/>
          </w:tcPr>
          <w:p w:rsidR="000220C2" w:rsidRPr="009E1432" w:rsidRDefault="000220C2" w:rsidP="00DC3C0E">
            <w:pPr>
              <w:rPr>
                <w:rFonts w:cstheme="minorHAnsi"/>
                <w:sz w:val="20"/>
                <w:szCs w:val="20"/>
              </w:rPr>
            </w:pPr>
            <w:r w:rsidRPr="009E1432">
              <w:rPr>
                <w:rFonts w:cstheme="minorHAnsi"/>
                <w:sz w:val="20"/>
                <w:szCs w:val="20"/>
              </w:rPr>
              <w:t>Ciljana vrijednost</w:t>
            </w:r>
          </w:p>
          <w:p w:rsidR="000220C2" w:rsidRPr="009E1432" w:rsidRDefault="009E1432" w:rsidP="00DC3C0E">
            <w:pPr>
              <w:rPr>
                <w:rFonts w:cstheme="minorHAnsi"/>
                <w:sz w:val="20"/>
                <w:szCs w:val="20"/>
              </w:rPr>
            </w:pPr>
            <w:r w:rsidRPr="009E1432">
              <w:rPr>
                <w:rFonts w:cstheme="minorHAnsi"/>
                <w:sz w:val="20"/>
                <w:szCs w:val="20"/>
              </w:rPr>
              <w:t>2025.</w:t>
            </w:r>
          </w:p>
        </w:tc>
        <w:tc>
          <w:tcPr>
            <w:tcW w:w="1161" w:type="dxa"/>
          </w:tcPr>
          <w:p w:rsidR="000220C2" w:rsidRPr="009E1432" w:rsidRDefault="000220C2" w:rsidP="00DC3C0E">
            <w:pPr>
              <w:rPr>
                <w:rFonts w:cstheme="minorHAnsi"/>
                <w:sz w:val="20"/>
                <w:szCs w:val="20"/>
              </w:rPr>
            </w:pPr>
            <w:r w:rsidRPr="009E1432">
              <w:rPr>
                <w:rFonts w:cstheme="minorHAnsi"/>
                <w:sz w:val="20"/>
                <w:szCs w:val="20"/>
              </w:rPr>
              <w:t>Ciljana vrijednost</w:t>
            </w:r>
          </w:p>
          <w:p w:rsidR="000220C2" w:rsidRPr="009E1432" w:rsidRDefault="009E1432" w:rsidP="00DC3C0E">
            <w:pPr>
              <w:rPr>
                <w:rFonts w:cstheme="minorHAnsi"/>
                <w:sz w:val="20"/>
                <w:szCs w:val="20"/>
              </w:rPr>
            </w:pPr>
            <w:r w:rsidRPr="009E1432">
              <w:rPr>
                <w:rFonts w:cstheme="minorHAnsi"/>
                <w:sz w:val="20"/>
                <w:szCs w:val="20"/>
              </w:rPr>
              <w:t>2026.</w:t>
            </w:r>
          </w:p>
        </w:tc>
      </w:tr>
      <w:tr w:rsidR="009E1432" w:rsidRPr="009E1432" w:rsidTr="00DC3C0E">
        <w:tc>
          <w:tcPr>
            <w:tcW w:w="1161" w:type="dxa"/>
          </w:tcPr>
          <w:p w:rsidR="000220C2" w:rsidRPr="009E1432" w:rsidRDefault="000220C2" w:rsidP="00DC3C0E">
            <w:pPr>
              <w:rPr>
                <w:rFonts w:cstheme="minorHAnsi"/>
                <w:sz w:val="20"/>
                <w:szCs w:val="20"/>
              </w:rPr>
            </w:pPr>
            <w:r w:rsidRPr="009E1432">
              <w:rPr>
                <w:rFonts w:cstheme="minorHAnsi"/>
                <w:sz w:val="20"/>
                <w:szCs w:val="20"/>
              </w:rPr>
              <w:t>Broj učenika korisnika školske kuhinje</w:t>
            </w:r>
          </w:p>
        </w:tc>
        <w:tc>
          <w:tcPr>
            <w:tcW w:w="1161" w:type="dxa"/>
          </w:tcPr>
          <w:p w:rsidR="000220C2" w:rsidRPr="009E1432" w:rsidRDefault="000220C2" w:rsidP="00DC3C0E">
            <w:pPr>
              <w:rPr>
                <w:rFonts w:cstheme="minorHAnsi"/>
                <w:sz w:val="20"/>
                <w:szCs w:val="20"/>
              </w:rPr>
            </w:pPr>
            <w:r w:rsidRPr="009E1432">
              <w:rPr>
                <w:rFonts w:cstheme="minorHAnsi"/>
                <w:sz w:val="20"/>
                <w:szCs w:val="20"/>
              </w:rPr>
              <w:t xml:space="preserve">Uvođenje pravilnih prehrambenih navika kod djece. </w:t>
            </w:r>
          </w:p>
        </w:tc>
        <w:tc>
          <w:tcPr>
            <w:tcW w:w="1161" w:type="dxa"/>
          </w:tcPr>
          <w:p w:rsidR="000220C2" w:rsidRPr="009E1432" w:rsidRDefault="000220C2" w:rsidP="00DC3C0E">
            <w:pPr>
              <w:rPr>
                <w:rFonts w:cstheme="minorHAnsi"/>
                <w:sz w:val="20"/>
                <w:szCs w:val="20"/>
              </w:rPr>
            </w:pPr>
            <w:r w:rsidRPr="009E1432">
              <w:rPr>
                <w:rFonts w:cstheme="minorHAnsi"/>
                <w:sz w:val="20"/>
                <w:szCs w:val="20"/>
              </w:rPr>
              <w:t>Broj učenika</w:t>
            </w:r>
          </w:p>
        </w:tc>
        <w:tc>
          <w:tcPr>
            <w:tcW w:w="1161" w:type="dxa"/>
          </w:tcPr>
          <w:p w:rsidR="000220C2" w:rsidRPr="009E1432" w:rsidRDefault="000220C2" w:rsidP="00DC3C0E">
            <w:pPr>
              <w:rPr>
                <w:rFonts w:cstheme="minorHAnsi"/>
                <w:sz w:val="20"/>
                <w:szCs w:val="20"/>
              </w:rPr>
            </w:pPr>
            <w:r w:rsidRPr="009E1432">
              <w:rPr>
                <w:rFonts w:cstheme="minorHAnsi"/>
                <w:sz w:val="20"/>
                <w:szCs w:val="20"/>
              </w:rPr>
              <w:t>411</w:t>
            </w:r>
          </w:p>
        </w:tc>
        <w:tc>
          <w:tcPr>
            <w:tcW w:w="1161" w:type="dxa"/>
          </w:tcPr>
          <w:p w:rsidR="000220C2" w:rsidRPr="009E1432" w:rsidRDefault="000220C2" w:rsidP="00DC3C0E">
            <w:pPr>
              <w:rPr>
                <w:rFonts w:cstheme="minorHAnsi"/>
                <w:sz w:val="20"/>
                <w:szCs w:val="20"/>
              </w:rPr>
            </w:pPr>
            <w:r w:rsidRPr="009E1432">
              <w:rPr>
                <w:rFonts w:cstheme="minorHAnsi"/>
                <w:sz w:val="20"/>
                <w:szCs w:val="20"/>
              </w:rPr>
              <w:t>Evidencija korisnika školske kuhinje</w:t>
            </w:r>
          </w:p>
          <w:p w:rsidR="000220C2" w:rsidRPr="009E1432" w:rsidRDefault="000220C2" w:rsidP="00DC3C0E">
            <w:pPr>
              <w:rPr>
                <w:rFonts w:cstheme="minorHAnsi"/>
                <w:sz w:val="20"/>
                <w:szCs w:val="20"/>
              </w:rPr>
            </w:pPr>
          </w:p>
        </w:tc>
        <w:tc>
          <w:tcPr>
            <w:tcW w:w="1161" w:type="dxa"/>
          </w:tcPr>
          <w:p w:rsidR="000220C2" w:rsidRPr="009E1432" w:rsidRDefault="000220C2" w:rsidP="00DC3C0E">
            <w:pPr>
              <w:rPr>
                <w:rFonts w:cstheme="minorHAnsi"/>
                <w:sz w:val="20"/>
                <w:szCs w:val="20"/>
              </w:rPr>
            </w:pPr>
            <w:r w:rsidRPr="009E1432">
              <w:rPr>
                <w:rFonts w:cstheme="minorHAnsi"/>
                <w:sz w:val="20"/>
                <w:szCs w:val="20"/>
              </w:rPr>
              <w:t>440</w:t>
            </w:r>
          </w:p>
        </w:tc>
        <w:tc>
          <w:tcPr>
            <w:tcW w:w="1161" w:type="dxa"/>
          </w:tcPr>
          <w:p w:rsidR="000220C2" w:rsidRPr="009E1432" w:rsidRDefault="009E1432" w:rsidP="00DC3C0E">
            <w:pPr>
              <w:rPr>
                <w:rFonts w:cstheme="minorHAnsi"/>
                <w:sz w:val="20"/>
                <w:szCs w:val="20"/>
              </w:rPr>
            </w:pPr>
            <w:r w:rsidRPr="009E1432">
              <w:rPr>
                <w:rFonts w:cstheme="minorHAnsi"/>
                <w:sz w:val="20"/>
                <w:szCs w:val="20"/>
              </w:rPr>
              <w:t>440</w:t>
            </w:r>
          </w:p>
        </w:tc>
        <w:tc>
          <w:tcPr>
            <w:tcW w:w="1161" w:type="dxa"/>
          </w:tcPr>
          <w:p w:rsidR="000220C2" w:rsidRPr="009E1432" w:rsidRDefault="009E1432" w:rsidP="00DC3C0E">
            <w:pPr>
              <w:rPr>
                <w:rFonts w:cstheme="minorHAnsi"/>
                <w:sz w:val="20"/>
                <w:szCs w:val="20"/>
              </w:rPr>
            </w:pPr>
            <w:r>
              <w:rPr>
                <w:rFonts w:cstheme="minorHAnsi"/>
                <w:sz w:val="20"/>
                <w:szCs w:val="20"/>
              </w:rPr>
              <w:t>440</w:t>
            </w:r>
          </w:p>
          <w:p w:rsidR="000220C2" w:rsidRPr="009E1432" w:rsidRDefault="000220C2" w:rsidP="00DC3C0E">
            <w:pPr>
              <w:rPr>
                <w:rFonts w:cstheme="minorHAnsi"/>
                <w:sz w:val="20"/>
                <w:szCs w:val="20"/>
              </w:rPr>
            </w:pPr>
          </w:p>
        </w:tc>
      </w:tr>
      <w:tr w:rsidR="000220C2" w:rsidRPr="009E1432" w:rsidTr="00DC3C0E">
        <w:tc>
          <w:tcPr>
            <w:tcW w:w="9288" w:type="dxa"/>
            <w:gridSpan w:val="8"/>
          </w:tcPr>
          <w:p w:rsidR="000220C2" w:rsidRPr="009E1432" w:rsidRDefault="000220C2" w:rsidP="00DC3C0E">
            <w:pPr>
              <w:rPr>
                <w:rFonts w:cstheme="minorHAnsi"/>
                <w:sz w:val="20"/>
                <w:szCs w:val="20"/>
              </w:rPr>
            </w:pPr>
            <w:r w:rsidRPr="009E1432">
              <w:rPr>
                <w:rFonts w:cstheme="minorHAnsi"/>
                <w:sz w:val="20"/>
                <w:szCs w:val="20"/>
              </w:rPr>
              <w:t xml:space="preserve">Cilj: </w:t>
            </w:r>
            <w:r w:rsidR="009E1432" w:rsidRPr="009E1432">
              <w:rPr>
                <w:rFonts w:cstheme="minorHAnsi"/>
                <w:sz w:val="20"/>
                <w:szCs w:val="20"/>
              </w:rPr>
              <w:t>osigurati kvalitetan obrok učenicima škole za vrijeme boravka u školi</w:t>
            </w:r>
          </w:p>
        </w:tc>
      </w:tr>
    </w:tbl>
    <w:p w:rsidR="000220C2" w:rsidRPr="000220C2" w:rsidRDefault="000220C2" w:rsidP="00D4383B">
      <w:pPr>
        <w:jc w:val="both"/>
        <w:rPr>
          <w:rFonts w:cstheme="minorHAnsi"/>
          <w:sz w:val="24"/>
          <w:szCs w:val="24"/>
        </w:rPr>
      </w:pPr>
    </w:p>
    <w:p w:rsidR="00F36CFB" w:rsidRPr="003F3AC9" w:rsidRDefault="003F3AC9" w:rsidP="00F36CFB">
      <w:pPr>
        <w:pStyle w:val="Tijeloteksta"/>
        <w:spacing w:line="280" w:lineRule="exact"/>
        <w:jc w:val="center"/>
        <w:rPr>
          <w:rFonts w:asciiTheme="minorHAnsi" w:hAnsiTheme="minorHAnsi" w:cstheme="minorHAnsi"/>
          <w:sz w:val="24"/>
          <w:szCs w:val="24"/>
        </w:rPr>
      </w:pPr>
      <w:r w:rsidRPr="003F3AC9">
        <w:rPr>
          <w:rFonts w:asciiTheme="minorHAnsi" w:hAnsiTheme="minorHAnsi" w:cstheme="minorHAnsi"/>
          <w:sz w:val="24"/>
          <w:szCs w:val="24"/>
        </w:rPr>
        <w:t xml:space="preserve">                                                                              </w:t>
      </w:r>
    </w:p>
    <w:p w:rsidR="003F3AC9" w:rsidRDefault="003F3AC9" w:rsidP="003F3AC9">
      <w:r w:rsidRPr="003F3AC9">
        <w:t xml:space="preserve">IZVJEŠTAJ O POSTIGNUTIM CILJEVIMA I REZULTATIMA PROGRAMA </w:t>
      </w:r>
      <w:r w:rsidR="004E5F4E">
        <w:t xml:space="preserve">, </w:t>
      </w:r>
      <w:r w:rsidRPr="003F3AC9">
        <w:t>POKAZATELJIMA USPJEŠNOSTI U PRETHODNOJ GODINI</w:t>
      </w:r>
    </w:p>
    <w:p w:rsidR="00F36CFB" w:rsidRPr="000220C2" w:rsidRDefault="00F36CFB" w:rsidP="00F36CFB">
      <w:pPr>
        <w:pStyle w:val="Tijeloteksta"/>
        <w:spacing w:line="280" w:lineRule="exact"/>
        <w:jc w:val="center"/>
        <w:rPr>
          <w:rFonts w:asciiTheme="minorHAnsi" w:hAnsiTheme="minorHAnsi" w:cstheme="minorHAnsi"/>
          <w:sz w:val="24"/>
          <w:szCs w:val="24"/>
        </w:rPr>
      </w:pP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 xml:space="preserve">U šk. god. 2023./2024. OŠ </w:t>
      </w:r>
      <w:proofErr w:type="spellStart"/>
      <w:r w:rsidRPr="004E5F4E">
        <w:rPr>
          <w:rFonts w:asciiTheme="minorHAnsi" w:hAnsiTheme="minorHAnsi" w:cstheme="minorHAnsi"/>
          <w:sz w:val="24"/>
          <w:szCs w:val="24"/>
        </w:rPr>
        <w:t>Kuršanec</w:t>
      </w:r>
      <w:proofErr w:type="spellEnd"/>
      <w:r w:rsidRPr="004E5F4E">
        <w:rPr>
          <w:rFonts w:asciiTheme="minorHAnsi" w:hAnsiTheme="minorHAnsi" w:cstheme="minorHAnsi"/>
          <w:sz w:val="24"/>
          <w:szCs w:val="24"/>
        </w:rPr>
        <w:t xml:space="preserve"> bila je domaćin županijskog Natjecanja iz hrvatskog jezika. </w:t>
      </w:r>
      <w:r>
        <w:rPr>
          <w:rFonts w:asciiTheme="minorHAnsi" w:hAnsiTheme="minorHAnsi" w:cstheme="minorHAnsi"/>
          <w:sz w:val="24"/>
          <w:szCs w:val="24"/>
        </w:rPr>
        <w:t xml:space="preserve"> </w:t>
      </w:r>
      <w:r w:rsidRPr="004E5F4E">
        <w:rPr>
          <w:rFonts w:asciiTheme="minorHAnsi" w:hAnsiTheme="minorHAnsi" w:cstheme="minorHAnsi"/>
          <w:sz w:val="24"/>
          <w:szCs w:val="24"/>
        </w:rPr>
        <w:t>Učenica 7. razreda bila je 1. na županijskom Natjecanju iz povijesti i bila je pozvana na državno Natjecanje iz povijesti na kojem je osvojila 6. mjesto.</w:t>
      </w:r>
      <w:r>
        <w:rPr>
          <w:rFonts w:asciiTheme="minorHAnsi" w:hAnsiTheme="minorHAnsi" w:cstheme="minorHAnsi"/>
          <w:sz w:val="24"/>
          <w:szCs w:val="24"/>
        </w:rPr>
        <w:t xml:space="preserve"> </w:t>
      </w:r>
      <w:r w:rsidRPr="004E5F4E">
        <w:rPr>
          <w:rFonts w:asciiTheme="minorHAnsi" w:hAnsiTheme="minorHAnsi" w:cstheme="minorHAnsi"/>
          <w:sz w:val="24"/>
          <w:szCs w:val="24"/>
        </w:rPr>
        <w:t xml:space="preserve">Učenici iz posebnih razrednih odjela sudjelovali su na Državnom natjecanju u atletici za osobe s intelektualnim teškoćama te </w:t>
      </w:r>
      <w:r w:rsidRPr="004E5F4E">
        <w:rPr>
          <w:rFonts w:asciiTheme="minorHAnsi" w:hAnsiTheme="minorHAnsi" w:cstheme="minorHAnsi"/>
          <w:sz w:val="24"/>
          <w:szCs w:val="24"/>
        </w:rPr>
        <w:lastRenderedPageBreak/>
        <w:t>osvojili prva, druga i treća mjesta.</w:t>
      </w:r>
      <w:r>
        <w:rPr>
          <w:rFonts w:asciiTheme="minorHAnsi" w:hAnsiTheme="minorHAnsi" w:cstheme="minorHAnsi"/>
          <w:sz w:val="24"/>
          <w:szCs w:val="24"/>
        </w:rPr>
        <w:t xml:space="preserve"> </w:t>
      </w:r>
      <w:r w:rsidRPr="004E5F4E">
        <w:rPr>
          <w:rFonts w:asciiTheme="minorHAnsi" w:hAnsiTheme="minorHAnsi" w:cstheme="minorHAnsi"/>
          <w:sz w:val="24"/>
          <w:szCs w:val="24"/>
        </w:rPr>
        <w:t xml:space="preserve">Učenička zadruga </w:t>
      </w:r>
      <w:proofErr w:type="spellStart"/>
      <w:r w:rsidRPr="004E5F4E">
        <w:rPr>
          <w:rFonts w:asciiTheme="minorHAnsi" w:hAnsiTheme="minorHAnsi" w:cstheme="minorHAnsi"/>
          <w:sz w:val="24"/>
          <w:szCs w:val="24"/>
        </w:rPr>
        <w:t>Kušlec</w:t>
      </w:r>
      <w:proofErr w:type="spellEnd"/>
      <w:r w:rsidRPr="004E5F4E">
        <w:rPr>
          <w:rFonts w:asciiTheme="minorHAnsi" w:hAnsiTheme="minorHAnsi" w:cstheme="minorHAnsi"/>
          <w:sz w:val="24"/>
          <w:szCs w:val="24"/>
        </w:rPr>
        <w:t xml:space="preserve"> osvojila je 3. mjesto na Županijskoj smotri.</w:t>
      </w:r>
      <w:r>
        <w:rPr>
          <w:rFonts w:asciiTheme="minorHAnsi" w:hAnsiTheme="minorHAnsi" w:cstheme="minorHAnsi"/>
          <w:sz w:val="24"/>
          <w:szCs w:val="24"/>
        </w:rPr>
        <w:t xml:space="preserve"> </w:t>
      </w:r>
      <w:r w:rsidRPr="004E5F4E">
        <w:rPr>
          <w:rFonts w:asciiTheme="minorHAnsi" w:hAnsiTheme="minorHAnsi" w:cstheme="minorHAnsi"/>
          <w:sz w:val="24"/>
          <w:szCs w:val="24"/>
        </w:rPr>
        <w:t xml:space="preserve">Učenici petih razreda osvojili su 3. mjesto na </w:t>
      </w:r>
      <w:proofErr w:type="spellStart"/>
      <w:r w:rsidRPr="004E5F4E">
        <w:rPr>
          <w:rFonts w:asciiTheme="minorHAnsi" w:hAnsiTheme="minorHAnsi" w:cstheme="minorHAnsi"/>
          <w:sz w:val="24"/>
          <w:szCs w:val="24"/>
        </w:rPr>
        <w:t>Vetro</w:t>
      </w:r>
      <w:proofErr w:type="spellEnd"/>
      <w:r w:rsidRPr="004E5F4E">
        <w:rPr>
          <w:rFonts w:asciiTheme="minorHAnsi" w:hAnsiTheme="minorHAnsi" w:cstheme="minorHAnsi"/>
          <w:sz w:val="24"/>
          <w:szCs w:val="24"/>
        </w:rPr>
        <w:t xml:space="preserve"> </w:t>
      </w:r>
      <w:proofErr w:type="spellStart"/>
      <w:r w:rsidRPr="004E5F4E">
        <w:rPr>
          <w:rFonts w:asciiTheme="minorHAnsi" w:hAnsiTheme="minorHAnsi" w:cstheme="minorHAnsi"/>
          <w:sz w:val="24"/>
          <w:szCs w:val="24"/>
        </w:rPr>
        <w:t>Challenge</w:t>
      </w:r>
      <w:proofErr w:type="spellEnd"/>
      <w:r w:rsidRPr="004E5F4E">
        <w:rPr>
          <w:rFonts w:asciiTheme="minorHAnsi" w:hAnsiTheme="minorHAnsi" w:cstheme="minorHAnsi"/>
          <w:sz w:val="24"/>
          <w:szCs w:val="24"/>
        </w:rPr>
        <w:t xml:space="preserve"> natjecanju.</w:t>
      </w: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Učenici su osvajali 1., 2. i 3. nagrade na međunarodnim i međužupanijskim likovnim natječajima.</w:t>
      </w:r>
      <w:r>
        <w:rPr>
          <w:rFonts w:asciiTheme="minorHAnsi" w:hAnsiTheme="minorHAnsi" w:cstheme="minorHAnsi"/>
          <w:sz w:val="24"/>
          <w:szCs w:val="24"/>
        </w:rPr>
        <w:t xml:space="preserve"> </w:t>
      </w:r>
      <w:r w:rsidRPr="004E5F4E">
        <w:rPr>
          <w:rFonts w:asciiTheme="minorHAnsi" w:hAnsiTheme="minorHAnsi" w:cstheme="minorHAnsi"/>
          <w:sz w:val="24"/>
          <w:szCs w:val="24"/>
        </w:rPr>
        <w:t>Učenici su sudjelovali na različitim priredbama i sportskim natjecanjima izvan škole.</w:t>
      </w:r>
      <w:r>
        <w:rPr>
          <w:rFonts w:asciiTheme="minorHAnsi" w:hAnsiTheme="minorHAnsi" w:cstheme="minorHAnsi"/>
          <w:sz w:val="24"/>
          <w:szCs w:val="24"/>
        </w:rPr>
        <w:t xml:space="preserve"> </w:t>
      </w:r>
      <w:r w:rsidRPr="004E5F4E">
        <w:rPr>
          <w:rFonts w:asciiTheme="minorHAnsi" w:hAnsiTheme="minorHAnsi" w:cstheme="minorHAnsi"/>
          <w:sz w:val="24"/>
          <w:szCs w:val="24"/>
        </w:rPr>
        <w:t xml:space="preserve">Prema Godišnjem planu i programu i Školskom </w:t>
      </w:r>
      <w:proofErr w:type="spellStart"/>
      <w:r w:rsidRPr="004E5F4E">
        <w:rPr>
          <w:rFonts w:asciiTheme="minorHAnsi" w:hAnsiTheme="minorHAnsi" w:cstheme="minorHAnsi"/>
          <w:sz w:val="24"/>
          <w:szCs w:val="24"/>
        </w:rPr>
        <w:t>kurikulu</w:t>
      </w:r>
      <w:proofErr w:type="spellEnd"/>
      <w:r w:rsidRPr="004E5F4E">
        <w:rPr>
          <w:rFonts w:asciiTheme="minorHAnsi" w:hAnsiTheme="minorHAnsi" w:cstheme="minorHAnsi"/>
          <w:sz w:val="24"/>
          <w:szCs w:val="24"/>
        </w:rPr>
        <w:t xml:space="preserve"> za šk. god. 2023./2024. uspješno su provedene gotovo sve terenske i </w:t>
      </w:r>
      <w:proofErr w:type="spellStart"/>
      <w:r w:rsidRPr="004E5F4E">
        <w:rPr>
          <w:rFonts w:asciiTheme="minorHAnsi" w:hAnsiTheme="minorHAnsi" w:cstheme="minorHAnsi"/>
          <w:sz w:val="24"/>
          <w:szCs w:val="24"/>
        </w:rPr>
        <w:t>izvanučioničke</w:t>
      </w:r>
      <w:proofErr w:type="spellEnd"/>
      <w:r w:rsidRPr="004E5F4E">
        <w:rPr>
          <w:rFonts w:asciiTheme="minorHAnsi" w:hAnsiTheme="minorHAnsi" w:cstheme="minorHAnsi"/>
          <w:sz w:val="24"/>
          <w:szCs w:val="24"/>
        </w:rPr>
        <w:t xml:space="preserve"> nastave.</w:t>
      </w:r>
    </w:p>
    <w:p w:rsidR="004E5F4E" w:rsidRPr="004E5F4E" w:rsidRDefault="004E5F4E" w:rsidP="004E5F4E">
      <w:pPr>
        <w:pStyle w:val="Tijeloteksta"/>
        <w:spacing w:line="280" w:lineRule="exact"/>
        <w:jc w:val="both"/>
        <w:rPr>
          <w:rFonts w:asciiTheme="minorHAnsi" w:hAnsiTheme="minorHAnsi" w:cstheme="minorHAnsi"/>
          <w:sz w:val="24"/>
          <w:szCs w:val="24"/>
        </w:rPr>
      </w:pP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 xml:space="preserve">U školi se obilježavaju svi značajniji datumi tijekom školske godine: doček </w:t>
      </w:r>
      <w:proofErr w:type="spellStart"/>
      <w:r w:rsidRPr="004E5F4E">
        <w:rPr>
          <w:rFonts w:asciiTheme="minorHAnsi" w:hAnsiTheme="minorHAnsi" w:cstheme="minorHAnsi"/>
          <w:sz w:val="24"/>
          <w:szCs w:val="24"/>
        </w:rPr>
        <w:t>prvašića</w:t>
      </w:r>
      <w:proofErr w:type="spellEnd"/>
      <w:r w:rsidRPr="004E5F4E">
        <w:rPr>
          <w:rFonts w:asciiTheme="minorHAnsi" w:hAnsiTheme="minorHAnsi" w:cstheme="minorHAnsi"/>
          <w:sz w:val="24"/>
          <w:szCs w:val="24"/>
        </w:rPr>
        <w:t xml:space="preserve">, Hrvatski  olimpijski dan, Europski dan jezika, Dječji tjedan, Mjesec hrvatske knjige, Dan kruha, Svjetski dan jabuka, Dan sjećanja na žrtve Domovinskog rata, Svjetski dan tablice množenja, Školski medni dan, Božić, Dan europskog broja 112, Tjedan psihologije, Europski dan logopedije, Svjetski dan osoba </w:t>
      </w:r>
      <w:proofErr w:type="spellStart"/>
      <w:r w:rsidRPr="004E5F4E">
        <w:rPr>
          <w:rFonts w:asciiTheme="minorHAnsi" w:hAnsiTheme="minorHAnsi" w:cstheme="minorHAnsi"/>
          <w:sz w:val="24"/>
          <w:szCs w:val="24"/>
        </w:rPr>
        <w:t>ss</w:t>
      </w:r>
      <w:proofErr w:type="spellEnd"/>
      <w:r w:rsidRPr="004E5F4E">
        <w:rPr>
          <w:rFonts w:asciiTheme="minorHAnsi" w:hAnsiTheme="minorHAnsi" w:cstheme="minorHAnsi"/>
          <w:sz w:val="24"/>
          <w:szCs w:val="24"/>
        </w:rPr>
        <w:t xml:space="preserve"> </w:t>
      </w:r>
      <w:proofErr w:type="spellStart"/>
      <w:r w:rsidRPr="004E5F4E">
        <w:rPr>
          <w:rFonts w:asciiTheme="minorHAnsi" w:hAnsiTheme="minorHAnsi" w:cstheme="minorHAnsi"/>
          <w:sz w:val="24"/>
          <w:szCs w:val="24"/>
        </w:rPr>
        <w:t>Downovim</w:t>
      </w:r>
      <w:proofErr w:type="spellEnd"/>
      <w:r w:rsidRPr="004E5F4E">
        <w:rPr>
          <w:rFonts w:asciiTheme="minorHAnsi" w:hAnsiTheme="minorHAnsi" w:cstheme="minorHAnsi"/>
          <w:sz w:val="24"/>
          <w:szCs w:val="24"/>
        </w:rPr>
        <w:t xml:space="preserve"> sindromom, Dan hrvatske knjige, Dan planeta Zemlje, Dan škole, Dan sporta, Nacionalni dan osoba s </w:t>
      </w:r>
      <w:proofErr w:type="spellStart"/>
      <w:r w:rsidRPr="004E5F4E">
        <w:rPr>
          <w:rFonts w:asciiTheme="minorHAnsi" w:hAnsiTheme="minorHAnsi" w:cstheme="minorHAnsi"/>
          <w:sz w:val="24"/>
          <w:szCs w:val="24"/>
        </w:rPr>
        <w:t>intelekturalnim</w:t>
      </w:r>
      <w:proofErr w:type="spellEnd"/>
      <w:r w:rsidRPr="004E5F4E">
        <w:rPr>
          <w:rFonts w:asciiTheme="minorHAnsi" w:hAnsiTheme="minorHAnsi" w:cstheme="minorHAnsi"/>
          <w:sz w:val="24"/>
          <w:szCs w:val="24"/>
        </w:rPr>
        <w:t xml:space="preserve"> teškoćama.</w:t>
      </w:r>
    </w:p>
    <w:p w:rsidR="004E5F4E" w:rsidRPr="004E5F4E" w:rsidRDefault="004E5F4E" w:rsidP="004E5F4E">
      <w:pPr>
        <w:pStyle w:val="Tijeloteksta"/>
        <w:spacing w:line="280" w:lineRule="exact"/>
        <w:jc w:val="both"/>
        <w:rPr>
          <w:rFonts w:asciiTheme="minorHAnsi" w:hAnsiTheme="minorHAnsi" w:cstheme="minorHAnsi"/>
          <w:sz w:val="24"/>
          <w:szCs w:val="24"/>
        </w:rPr>
      </w:pP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Stručno usavršavanje djelatnika škole putem sjednica Učiteljskih vijeća i posjeta:</w:t>
      </w: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 xml:space="preserve">Predavanje </w:t>
      </w:r>
      <w:proofErr w:type="spellStart"/>
      <w:r w:rsidRPr="004E5F4E">
        <w:rPr>
          <w:rFonts w:asciiTheme="minorHAnsi" w:hAnsiTheme="minorHAnsi" w:cstheme="minorHAnsi"/>
          <w:sz w:val="24"/>
          <w:szCs w:val="24"/>
        </w:rPr>
        <w:t>Eleonore</w:t>
      </w:r>
      <w:proofErr w:type="spellEnd"/>
      <w:r w:rsidRPr="004E5F4E">
        <w:rPr>
          <w:rFonts w:asciiTheme="minorHAnsi" w:hAnsiTheme="minorHAnsi" w:cstheme="minorHAnsi"/>
          <w:sz w:val="24"/>
          <w:szCs w:val="24"/>
        </w:rPr>
        <w:t xml:space="preserve"> Glavina, prof. psihologije na temu "Očuvajmo svoje mentalno zdravlje" na sjednici Učiteljskog vijeća.</w:t>
      </w: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 xml:space="preserve">Posjet učitelja iz grčkog grada </w:t>
      </w:r>
      <w:proofErr w:type="spellStart"/>
      <w:r w:rsidRPr="004E5F4E">
        <w:rPr>
          <w:rFonts w:asciiTheme="minorHAnsi" w:hAnsiTheme="minorHAnsi" w:cstheme="minorHAnsi"/>
          <w:sz w:val="24"/>
          <w:szCs w:val="24"/>
        </w:rPr>
        <w:t>Agrinio</w:t>
      </w:r>
      <w:proofErr w:type="spellEnd"/>
      <w:r w:rsidRPr="004E5F4E">
        <w:rPr>
          <w:rFonts w:asciiTheme="minorHAnsi" w:hAnsiTheme="minorHAnsi" w:cstheme="minorHAnsi"/>
          <w:sz w:val="24"/>
          <w:szCs w:val="24"/>
        </w:rPr>
        <w:t xml:space="preserve"> vezano uz tematiku podučavanja romske nacionalne manjine.</w:t>
      </w:r>
    </w:p>
    <w:p w:rsidR="004E5F4E" w:rsidRPr="004E5F4E" w:rsidRDefault="004E5F4E" w:rsidP="004E5F4E">
      <w:pPr>
        <w:pStyle w:val="Tijeloteksta"/>
        <w:spacing w:line="280" w:lineRule="exact"/>
        <w:jc w:val="both"/>
        <w:rPr>
          <w:rFonts w:asciiTheme="minorHAnsi" w:hAnsiTheme="minorHAnsi" w:cstheme="minorHAnsi"/>
          <w:sz w:val="24"/>
          <w:szCs w:val="24"/>
        </w:rPr>
      </w:pPr>
      <w:r w:rsidRPr="004E5F4E">
        <w:rPr>
          <w:rFonts w:asciiTheme="minorHAnsi" w:hAnsiTheme="minorHAnsi" w:cstheme="minorHAnsi"/>
          <w:sz w:val="24"/>
          <w:szCs w:val="24"/>
        </w:rPr>
        <w:t xml:space="preserve">Posjet studenata i profesora iz Japana iz grada </w:t>
      </w:r>
      <w:proofErr w:type="spellStart"/>
      <w:r w:rsidRPr="004E5F4E">
        <w:rPr>
          <w:rFonts w:asciiTheme="minorHAnsi" w:hAnsiTheme="minorHAnsi" w:cstheme="minorHAnsi"/>
          <w:sz w:val="24"/>
          <w:szCs w:val="24"/>
        </w:rPr>
        <w:t>Hokodate</w:t>
      </w:r>
      <w:proofErr w:type="spellEnd"/>
      <w:r w:rsidRPr="004E5F4E">
        <w:rPr>
          <w:rFonts w:asciiTheme="minorHAnsi" w:hAnsiTheme="minorHAnsi" w:cstheme="minorHAnsi"/>
          <w:sz w:val="24"/>
          <w:szCs w:val="24"/>
        </w:rPr>
        <w:t xml:space="preserve"> - suradnja s Učiteljskim fakultetom Sveučilišta u Zagrebu, odsjek u Čakovcu.</w:t>
      </w:r>
    </w:p>
    <w:p w:rsidR="00F36CFB" w:rsidRPr="000220C2" w:rsidRDefault="00F36CFB" w:rsidP="004E5F4E">
      <w:pPr>
        <w:pStyle w:val="Tijeloteksta"/>
        <w:spacing w:line="280" w:lineRule="exact"/>
        <w:jc w:val="both"/>
        <w:rPr>
          <w:rFonts w:asciiTheme="minorHAnsi" w:hAnsiTheme="minorHAnsi" w:cstheme="minorHAnsi"/>
          <w:sz w:val="24"/>
          <w:szCs w:val="24"/>
        </w:rPr>
      </w:pPr>
    </w:p>
    <w:p w:rsidR="00F36CFB" w:rsidRPr="000220C2" w:rsidRDefault="00F36CFB" w:rsidP="00F36CFB">
      <w:pPr>
        <w:pStyle w:val="Tijeloteksta"/>
        <w:spacing w:line="280" w:lineRule="exact"/>
        <w:jc w:val="center"/>
        <w:rPr>
          <w:rFonts w:asciiTheme="minorHAnsi" w:hAnsiTheme="minorHAnsi" w:cstheme="minorHAnsi"/>
          <w:sz w:val="24"/>
          <w:szCs w:val="24"/>
        </w:rPr>
      </w:pPr>
    </w:p>
    <w:p w:rsidR="00F36CFB" w:rsidRPr="000220C2" w:rsidRDefault="00F36CFB" w:rsidP="00F36CFB">
      <w:pPr>
        <w:pStyle w:val="Tijeloteksta"/>
        <w:spacing w:line="280" w:lineRule="exact"/>
        <w:jc w:val="center"/>
        <w:rPr>
          <w:rFonts w:asciiTheme="minorHAnsi" w:hAnsiTheme="minorHAnsi" w:cstheme="minorHAnsi"/>
          <w:sz w:val="24"/>
          <w:szCs w:val="24"/>
        </w:rPr>
      </w:pPr>
    </w:p>
    <w:p w:rsidR="00F36CFB" w:rsidRPr="000220C2" w:rsidRDefault="00F36CFB" w:rsidP="00F36CFB">
      <w:pPr>
        <w:pStyle w:val="Tijeloteksta"/>
        <w:spacing w:line="280" w:lineRule="exact"/>
        <w:jc w:val="center"/>
        <w:rPr>
          <w:rFonts w:asciiTheme="minorHAnsi" w:hAnsiTheme="minorHAnsi" w:cstheme="minorHAnsi"/>
          <w:sz w:val="24"/>
          <w:szCs w:val="24"/>
        </w:rPr>
      </w:pPr>
    </w:p>
    <w:p w:rsidR="00D4383B" w:rsidRPr="000220C2" w:rsidRDefault="00413BF6" w:rsidP="003F3AC9">
      <w:pPr>
        <w:jc w:val="right"/>
        <w:rPr>
          <w:rFonts w:cstheme="minorHAnsi"/>
          <w:sz w:val="24"/>
          <w:szCs w:val="24"/>
        </w:rPr>
      </w:pPr>
      <w:r>
        <w:rPr>
          <w:noProof/>
        </w:rPr>
        <w:drawing>
          <wp:inline distT="0" distB="0" distL="0" distR="0" wp14:anchorId="742EBE05" wp14:editId="403CB3E3">
            <wp:extent cx="2514600" cy="996778"/>
            <wp:effectExtent l="0" t="0" r="0" b="0"/>
            <wp:docPr id="1356997356" name="Slika 1" descr="Slika na kojoj se prikazuje tekst, Font, logotip,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97356" name="Slika 1" descr="Slika na kojoj se prikazuje tekst, Font, logotip, dizajn&#10;&#10;Opis je automatski generiran"/>
                    <pic:cNvPicPr/>
                  </pic:nvPicPr>
                  <pic:blipFill>
                    <a:blip r:embed="rId5"/>
                    <a:stretch>
                      <a:fillRect/>
                    </a:stretch>
                  </pic:blipFill>
                  <pic:spPr>
                    <a:xfrm>
                      <a:off x="0" y="0"/>
                      <a:ext cx="2534059" cy="1004492"/>
                    </a:xfrm>
                    <a:prstGeom prst="rect">
                      <a:avLst/>
                    </a:prstGeom>
                  </pic:spPr>
                </pic:pic>
              </a:graphicData>
            </a:graphic>
          </wp:inline>
        </w:drawing>
      </w:r>
    </w:p>
    <w:sectPr w:rsidR="00D4383B" w:rsidRPr="00022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722B0"/>
    <w:multiLevelType w:val="multilevel"/>
    <w:tmpl w:val="EA0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94"/>
    <w:rsid w:val="000220C2"/>
    <w:rsid w:val="00096B42"/>
    <w:rsid w:val="000B4239"/>
    <w:rsid w:val="000C42D4"/>
    <w:rsid w:val="001038E3"/>
    <w:rsid w:val="00203AC7"/>
    <w:rsid w:val="00243057"/>
    <w:rsid w:val="002908A4"/>
    <w:rsid w:val="002A584C"/>
    <w:rsid w:val="002F2094"/>
    <w:rsid w:val="003C3DA8"/>
    <w:rsid w:val="003F3AC9"/>
    <w:rsid w:val="00413BF6"/>
    <w:rsid w:val="00454F24"/>
    <w:rsid w:val="004E5F4E"/>
    <w:rsid w:val="006819BB"/>
    <w:rsid w:val="006D038D"/>
    <w:rsid w:val="009130D9"/>
    <w:rsid w:val="00984D9C"/>
    <w:rsid w:val="00997E2F"/>
    <w:rsid w:val="009E1432"/>
    <w:rsid w:val="00A007DC"/>
    <w:rsid w:val="00A935BC"/>
    <w:rsid w:val="00A94B6D"/>
    <w:rsid w:val="00B4673C"/>
    <w:rsid w:val="00B85E9D"/>
    <w:rsid w:val="00C7652C"/>
    <w:rsid w:val="00CD4628"/>
    <w:rsid w:val="00D4383B"/>
    <w:rsid w:val="00F36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1F653-90FC-439E-BED3-BB35587C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1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F36CFB"/>
    <w:pPr>
      <w:widowControl w:val="0"/>
      <w:autoSpaceDE w:val="0"/>
      <w:autoSpaceDN w:val="0"/>
      <w:spacing w:after="0" w:line="240" w:lineRule="auto"/>
    </w:pPr>
    <w:rPr>
      <w:rFonts w:ascii="Arial" w:eastAsia="Arial" w:hAnsi="Arial" w:cs="Arial"/>
      <w:sz w:val="25"/>
      <w:szCs w:val="25"/>
    </w:rPr>
  </w:style>
  <w:style w:type="character" w:customStyle="1" w:styleId="TijelotekstaChar">
    <w:name w:val="Tijelo teksta Char"/>
    <w:basedOn w:val="Zadanifontodlomka"/>
    <w:link w:val="Tijeloteksta"/>
    <w:uiPriority w:val="1"/>
    <w:rsid w:val="00F36CFB"/>
    <w:rPr>
      <w:rFonts w:ascii="Arial" w:eastAsia="Arial" w:hAnsi="Arial" w:cs="Arial"/>
      <w:sz w:val="25"/>
      <w:szCs w:val="25"/>
    </w:rPr>
  </w:style>
  <w:style w:type="paragraph" w:styleId="Tekstbalonia">
    <w:name w:val="Balloon Text"/>
    <w:basedOn w:val="Normal"/>
    <w:link w:val="TekstbaloniaChar"/>
    <w:uiPriority w:val="99"/>
    <w:semiHidden/>
    <w:unhideWhenUsed/>
    <w:rsid w:val="001038E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38E3"/>
    <w:rPr>
      <w:rFonts w:ascii="Segoe UI" w:hAnsi="Segoe UI" w:cs="Segoe UI"/>
      <w:sz w:val="18"/>
      <w:szCs w:val="18"/>
    </w:rPr>
  </w:style>
  <w:style w:type="character" w:customStyle="1" w:styleId="apple-converted-space">
    <w:name w:val="apple-converted-space"/>
    <w:basedOn w:val="Zadanifontodlomka"/>
    <w:rsid w:val="0002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1974">
      <w:bodyDiv w:val="1"/>
      <w:marLeft w:val="0"/>
      <w:marRight w:val="0"/>
      <w:marTop w:val="0"/>
      <w:marBottom w:val="0"/>
      <w:divBdr>
        <w:top w:val="none" w:sz="0" w:space="0" w:color="auto"/>
        <w:left w:val="none" w:sz="0" w:space="0" w:color="auto"/>
        <w:bottom w:val="none" w:sz="0" w:space="0" w:color="auto"/>
        <w:right w:val="none" w:sz="0" w:space="0" w:color="auto"/>
      </w:divBdr>
    </w:div>
    <w:div w:id="842820905">
      <w:bodyDiv w:val="1"/>
      <w:marLeft w:val="0"/>
      <w:marRight w:val="0"/>
      <w:marTop w:val="0"/>
      <w:marBottom w:val="0"/>
      <w:divBdr>
        <w:top w:val="none" w:sz="0" w:space="0" w:color="auto"/>
        <w:left w:val="none" w:sz="0" w:space="0" w:color="auto"/>
        <w:bottom w:val="none" w:sz="0" w:space="0" w:color="auto"/>
        <w:right w:val="none" w:sz="0" w:space="0" w:color="auto"/>
      </w:divBdr>
    </w:div>
    <w:div w:id="1141656230">
      <w:bodyDiv w:val="1"/>
      <w:marLeft w:val="0"/>
      <w:marRight w:val="0"/>
      <w:marTop w:val="0"/>
      <w:marBottom w:val="0"/>
      <w:divBdr>
        <w:top w:val="none" w:sz="0" w:space="0" w:color="auto"/>
        <w:left w:val="none" w:sz="0" w:space="0" w:color="auto"/>
        <w:bottom w:val="none" w:sz="0" w:space="0" w:color="auto"/>
        <w:right w:val="none" w:sz="0" w:space="0" w:color="auto"/>
      </w:divBdr>
    </w:div>
    <w:div w:id="1191186627">
      <w:bodyDiv w:val="1"/>
      <w:marLeft w:val="0"/>
      <w:marRight w:val="0"/>
      <w:marTop w:val="0"/>
      <w:marBottom w:val="0"/>
      <w:divBdr>
        <w:top w:val="none" w:sz="0" w:space="0" w:color="auto"/>
        <w:left w:val="none" w:sz="0" w:space="0" w:color="auto"/>
        <w:bottom w:val="none" w:sz="0" w:space="0" w:color="auto"/>
        <w:right w:val="none" w:sz="0" w:space="0" w:color="auto"/>
      </w:divBdr>
      <w:divsChild>
        <w:div w:id="1953392669">
          <w:marLeft w:val="0"/>
          <w:marRight w:val="0"/>
          <w:marTop w:val="0"/>
          <w:marBottom w:val="0"/>
          <w:divBdr>
            <w:top w:val="none" w:sz="0" w:space="0" w:color="auto"/>
            <w:left w:val="none" w:sz="0" w:space="0" w:color="auto"/>
            <w:bottom w:val="none" w:sz="0" w:space="0" w:color="auto"/>
            <w:right w:val="none" w:sz="0" w:space="0" w:color="auto"/>
          </w:divBdr>
        </w:div>
        <w:div w:id="1253202019">
          <w:marLeft w:val="0"/>
          <w:marRight w:val="0"/>
          <w:marTop w:val="0"/>
          <w:marBottom w:val="0"/>
          <w:divBdr>
            <w:top w:val="none" w:sz="0" w:space="0" w:color="auto"/>
            <w:left w:val="none" w:sz="0" w:space="0" w:color="auto"/>
            <w:bottom w:val="none" w:sz="0" w:space="0" w:color="auto"/>
            <w:right w:val="none" w:sz="0" w:space="0" w:color="auto"/>
          </w:divBdr>
        </w:div>
        <w:div w:id="1673793345">
          <w:marLeft w:val="0"/>
          <w:marRight w:val="0"/>
          <w:marTop w:val="0"/>
          <w:marBottom w:val="0"/>
          <w:divBdr>
            <w:top w:val="none" w:sz="0" w:space="0" w:color="auto"/>
            <w:left w:val="none" w:sz="0" w:space="0" w:color="auto"/>
            <w:bottom w:val="none" w:sz="0" w:space="0" w:color="auto"/>
            <w:right w:val="none" w:sz="0" w:space="0" w:color="auto"/>
          </w:divBdr>
        </w:div>
        <w:div w:id="787284161">
          <w:marLeft w:val="0"/>
          <w:marRight w:val="0"/>
          <w:marTop w:val="0"/>
          <w:marBottom w:val="0"/>
          <w:divBdr>
            <w:top w:val="none" w:sz="0" w:space="0" w:color="auto"/>
            <w:left w:val="none" w:sz="0" w:space="0" w:color="auto"/>
            <w:bottom w:val="none" w:sz="0" w:space="0" w:color="auto"/>
            <w:right w:val="none" w:sz="0" w:space="0" w:color="auto"/>
          </w:divBdr>
        </w:div>
        <w:div w:id="2137985597">
          <w:marLeft w:val="0"/>
          <w:marRight w:val="0"/>
          <w:marTop w:val="0"/>
          <w:marBottom w:val="0"/>
          <w:divBdr>
            <w:top w:val="none" w:sz="0" w:space="0" w:color="auto"/>
            <w:left w:val="none" w:sz="0" w:space="0" w:color="auto"/>
            <w:bottom w:val="none" w:sz="0" w:space="0" w:color="auto"/>
            <w:right w:val="none" w:sz="0" w:space="0" w:color="auto"/>
          </w:divBdr>
        </w:div>
        <w:div w:id="1140880127">
          <w:marLeft w:val="0"/>
          <w:marRight w:val="0"/>
          <w:marTop w:val="0"/>
          <w:marBottom w:val="0"/>
          <w:divBdr>
            <w:top w:val="none" w:sz="0" w:space="0" w:color="auto"/>
            <w:left w:val="none" w:sz="0" w:space="0" w:color="auto"/>
            <w:bottom w:val="none" w:sz="0" w:space="0" w:color="auto"/>
            <w:right w:val="none" w:sz="0" w:space="0" w:color="auto"/>
          </w:divBdr>
        </w:div>
        <w:div w:id="1466855568">
          <w:marLeft w:val="0"/>
          <w:marRight w:val="0"/>
          <w:marTop w:val="0"/>
          <w:marBottom w:val="0"/>
          <w:divBdr>
            <w:top w:val="none" w:sz="0" w:space="0" w:color="auto"/>
            <w:left w:val="none" w:sz="0" w:space="0" w:color="auto"/>
            <w:bottom w:val="none" w:sz="0" w:space="0" w:color="auto"/>
            <w:right w:val="none" w:sz="0" w:space="0" w:color="auto"/>
          </w:divBdr>
        </w:div>
        <w:div w:id="2101946985">
          <w:marLeft w:val="0"/>
          <w:marRight w:val="0"/>
          <w:marTop w:val="0"/>
          <w:marBottom w:val="0"/>
          <w:divBdr>
            <w:top w:val="none" w:sz="0" w:space="0" w:color="auto"/>
            <w:left w:val="none" w:sz="0" w:space="0" w:color="auto"/>
            <w:bottom w:val="none" w:sz="0" w:space="0" w:color="auto"/>
            <w:right w:val="none" w:sz="0" w:space="0" w:color="auto"/>
          </w:divBdr>
        </w:div>
        <w:div w:id="546261780">
          <w:marLeft w:val="0"/>
          <w:marRight w:val="0"/>
          <w:marTop w:val="0"/>
          <w:marBottom w:val="0"/>
          <w:divBdr>
            <w:top w:val="none" w:sz="0" w:space="0" w:color="auto"/>
            <w:left w:val="none" w:sz="0" w:space="0" w:color="auto"/>
            <w:bottom w:val="none" w:sz="0" w:space="0" w:color="auto"/>
            <w:right w:val="none" w:sz="0" w:space="0" w:color="auto"/>
          </w:divBdr>
        </w:div>
        <w:div w:id="1548951118">
          <w:marLeft w:val="0"/>
          <w:marRight w:val="0"/>
          <w:marTop w:val="0"/>
          <w:marBottom w:val="0"/>
          <w:divBdr>
            <w:top w:val="none" w:sz="0" w:space="0" w:color="auto"/>
            <w:left w:val="none" w:sz="0" w:space="0" w:color="auto"/>
            <w:bottom w:val="none" w:sz="0" w:space="0" w:color="auto"/>
            <w:right w:val="none" w:sz="0" w:space="0" w:color="auto"/>
          </w:divBdr>
        </w:div>
        <w:div w:id="884682780">
          <w:marLeft w:val="0"/>
          <w:marRight w:val="0"/>
          <w:marTop w:val="0"/>
          <w:marBottom w:val="0"/>
          <w:divBdr>
            <w:top w:val="none" w:sz="0" w:space="0" w:color="auto"/>
            <w:left w:val="none" w:sz="0" w:space="0" w:color="auto"/>
            <w:bottom w:val="none" w:sz="0" w:space="0" w:color="auto"/>
            <w:right w:val="none" w:sz="0" w:space="0" w:color="auto"/>
          </w:divBdr>
        </w:div>
        <w:div w:id="1169098485">
          <w:marLeft w:val="0"/>
          <w:marRight w:val="0"/>
          <w:marTop w:val="0"/>
          <w:marBottom w:val="0"/>
          <w:divBdr>
            <w:top w:val="none" w:sz="0" w:space="0" w:color="auto"/>
            <w:left w:val="none" w:sz="0" w:space="0" w:color="auto"/>
            <w:bottom w:val="none" w:sz="0" w:space="0" w:color="auto"/>
            <w:right w:val="none" w:sz="0" w:space="0" w:color="auto"/>
          </w:divBdr>
        </w:div>
        <w:div w:id="2063019382">
          <w:marLeft w:val="0"/>
          <w:marRight w:val="0"/>
          <w:marTop w:val="0"/>
          <w:marBottom w:val="0"/>
          <w:divBdr>
            <w:top w:val="none" w:sz="0" w:space="0" w:color="auto"/>
            <w:left w:val="none" w:sz="0" w:space="0" w:color="auto"/>
            <w:bottom w:val="none" w:sz="0" w:space="0" w:color="auto"/>
            <w:right w:val="none" w:sz="0" w:space="0" w:color="auto"/>
          </w:divBdr>
        </w:div>
        <w:div w:id="356732841">
          <w:marLeft w:val="0"/>
          <w:marRight w:val="0"/>
          <w:marTop w:val="0"/>
          <w:marBottom w:val="0"/>
          <w:divBdr>
            <w:top w:val="none" w:sz="0" w:space="0" w:color="auto"/>
            <w:left w:val="none" w:sz="0" w:space="0" w:color="auto"/>
            <w:bottom w:val="none" w:sz="0" w:space="0" w:color="auto"/>
            <w:right w:val="none" w:sz="0" w:space="0" w:color="auto"/>
          </w:divBdr>
        </w:div>
        <w:div w:id="416631658">
          <w:marLeft w:val="0"/>
          <w:marRight w:val="0"/>
          <w:marTop w:val="0"/>
          <w:marBottom w:val="0"/>
          <w:divBdr>
            <w:top w:val="none" w:sz="0" w:space="0" w:color="auto"/>
            <w:left w:val="none" w:sz="0" w:space="0" w:color="auto"/>
            <w:bottom w:val="none" w:sz="0" w:space="0" w:color="auto"/>
            <w:right w:val="none" w:sz="0" w:space="0" w:color="auto"/>
          </w:divBdr>
        </w:div>
        <w:div w:id="1079254051">
          <w:marLeft w:val="0"/>
          <w:marRight w:val="0"/>
          <w:marTop w:val="0"/>
          <w:marBottom w:val="0"/>
          <w:divBdr>
            <w:top w:val="none" w:sz="0" w:space="0" w:color="auto"/>
            <w:left w:val="none" w:sz="0" w:space="0" w:color="auto"/>
            <w:bottom w:val="none" w:sz="0" w:space="0" w:color="auto"/>
            <w:right w:val="none" w:sz="0" w:space="0" w:color="auto"/>
          </w:divBdr>
        </w:div>
      </w:divsChild>
    </w:div>
    <w:div w:id="21395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1698</Words>
  <Characters>9682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Fučec</dc:creator>
  <cp:keywords/>
  <dc:description/>
  <cp:lastModifiedBy>Elena Fučec</cp:lastModifiedBy>
  <cp:revision>14</cp:revision>
  <cp:lastPrinted>2022-11-09T13:03:00Z</cp:lastPrinted>
  <dcterms:created xsi:type="dcterms:W3CDTF">2022-11-09T11:37:00Z</dcterms:created>
  <dcterms:modified xsi:type="dcterms:W3CDTF">2024-11-19T10:39:00Z</dcterms:modified>
</cp:coreProperties>
</file>