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DF3" w:rsidRPr="00565F4E" w:rsidRDefault="00232DF3" w:rsidP="00232DF3">
      <w:pPr>
        <w:jc w:val="both"/>
        <w:rPr>
          <w:rFonts w:cstheme="minorHAnsi"/>
          <w:sz w:val="24"/>
          <w:szCs w:val="24"/>
        </w:rPr>
      </w:pPr>
      <w:r w:rsidRPr="00565F4E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>
                <wp:simplePos x="0" y="0"/>
                <wp:positionH relativeFrom="margin">
                  <wp:posOffset>-404495</wp:posOffset>
                </wp:positionH>
                <wp:positionV relativeFrom="paragraph">
                  <wp:posOffset>5080</wp:posOffset>
                </wp:positionV>
                <wp:extent cx="3057525" cy="1552575"/>
                <wp:effectExtent l="0" t="0" r="9525" b="9525"/>
                <wp:wrapNone/>
                <wp:docPr id="6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DF3" w:rsidRDefault="00232DF3" w:rsidP="00232DF3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REPUBLIKA HRVATSKA</w:t>
                            </w:r>
                          </w:p>
                          <w:p w:rsidR="00232DF3" w:rsidRDefault="00232DF3" w:rsidP="00232DF3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GRAD ČAKOVEC</w:t>
                            </w:r>
                          </w:p>
                          <w:p w:rsidR="00232DF3" w:rsidRDefault="00232DF3" w:rsidP="00232DF3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OSNOVNA ŠKOLA KURŠANEC</w:t>
                            </w:r>
                          </w:p>
                          <w:p w:rsidR="00232DF3" w:rsidRDefault="00232DF3" w:rsidP="00232DF3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Kuršanec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, Glavna 15, 40000 Čakovec</w:t>
                            </w:r>
                          </w:p>
                          <w:p w:rsidR="00232DF3" w:rsidRDefault="00232DF3" w:rsidP="00232DF3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OIB:60845884456</w:t>
                            </w:r>
                          </w:p>
                          <w:p w:rsidR="00232DF3" w:rsidRDefault="004B6447" w:rsidP="00232DF3">
                            <w:pPr>
                              <w:jc w:val="center"/>
                            </w:pPr>
                            <w:r>
                              <w:t>21.3</w:t>
                            </w:r>
                            <w:r w:rsidR="00232DF3">
                              <w:t>.202</w:t>
                            </w:r>
                            <w:r w:rsidR="00FE649A">
                              <w:t>5</w:t>
                            </w:r>
                            <w:r w:rsidR="00232DF3">
                              <w:t>.g.</w:t>
                            </w:r>
                          </w:p>
                          <w:p w:rsidR="00232DF3" w:rsidRDefault="00232DF3" w:rsidP="00232DF3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32DF3" w:rsidRDefault="00232DF3" w:rsidP="00232DF3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32DF3" w:rsidRDefault="00232DF3" w:rsidP="00232DF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left:0;text-align:left;margin-left:-31.85pt;margin-top:.4pt;width:240.75pt;height:122.2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" stroked="f">
                <v:textbox>
                  <w:txbxContent>
                    <w:p w:rsidR="00232DF3" w:rsidRDefault="00232DF3" w:rsidP="00232DF3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REPUBLIKA HRVATSKA</w:t>
                      </w:r>
                    </w:p>
                    <w:p w:rsidR="00232DF3" w:rsidRDefault="00232DF3" w:rsidP="00232DF3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GRAD ČAKOVEC</w:t>
                      </w:r>
                    </w:p>
                    <w:p w:rsidR="00232DF3" w:rsidRDefault="00232DF3" w:rsidP="00232DF3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OSNOVNA ŠKOLA KURŠANEC</w:t>
                      </w:r>
                    </w:p>
                    <w:p w:rsidR="00232DF3" w:rsidRDefault="00232DF3" w:rsidP="00232DF3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Kuršanec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>, Glavna 15, 40000 Čakovec</w:t>
                      </w:r>
                    </w:p>
                    <w:p w:rsidR="00232DF3" w:rsidRDefault="00232DF3" w:rsidP="00232DF3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OIB:60845884456</w:t>
                      </w:r>
                    </w:p>
                    <w:p w:rsidR="00232DF3" w:rsidRDefault="004B6447" w:rsidP="00232DF3">
                      <w:pPr>
                        <w:jc w:val="center"/>
                      </w:pPr>
                      <w:r>
                        <w:t>21.3</w:t>
                      </w:r>
                      <w:r w:rsidR="00232DF3">
                        <w:t>.202</w:t>
                      </w:r>
                      <w:r w:rsidR="00FE649A">
                        <w:t>5</w:t>
                      </w:r>
                      <w:r w:rsidR="00232DF3">
                        <w:t>.g.</w:t>
                      </w:r>
                    </w:p>
                    <w:p w:rsidR="00232DF3" w:rsidRDefault="00232DF3" w:rsidP="00232DF3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232DF3" w:rsidRDefault="00232DF3" w:rsidP="00232DF3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232DF3" w:rsidRDefault="00232DF3" w:rsidP="00232DF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65F4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833120</wp:posOffset>
            </wp:positionH>
            <wp:positionV relativeFrom="paragraph">
              <wp:posOffset>-752475</wp:posOffset>
            </wp:positionV>
            <wp:extent cx="542925" cy="685800"/>
            <wp:effectExtent l="0" t="0" r="9525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 descr="grb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DF3" w:rsidRPr="00565F4E" w:rsidRDefault="00232DF3" w:rsidP="00232DF3">
      <w:pPr>
        <w:jc w:val="both"/>
        <w:rPr>
          <w:rFonts w:cstheme="minorHAnsi"/>
          <w:sz w:val="24"/>
          <w:szCs w:val="24"/>
        </w:rPr>
      </w:pPr>
    </w:p>
    <w:p w:rsidR="00232DF3" w:rsidRPr="00565F4E" w:rsidRDefault="00232DF3" w:rsidP="00232DF3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232DF3" w:rsidRPr="00565F4E" w:rsidRDefault="00232DF3" w:rsidP="00232DF3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232DF3" w:rsidRPr="00565F4E" w:rsidRDefault="00232DF3" w:rsidP="00232DF3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232DF3" w:rsidRPr="00565F4E" w:rsidRDefault="00232DF3" w:rsidP="00232DF3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232DF3" w:rsidRPr="00565F4E" w:rsidRDefault="00232DF3" w:rsidP="00232DF3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232DF3" w:rsidRPr="00565F4E" w:rsidRDefault="00232DF3" w:rsidP="00232DF3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232DF3" w:rsidRPr="00565F4E" w:rsidRDefault="00232DF3" w:rsidP="00123117">
      <w:pPr>
        <w:spacing w:after="0"/>
        <w:jc w:val="center"/>
        <w:rPr>
          <w:rFonts w:cstheme="minorHAnsi"/>
          <w:sz w:val="32"/>
          <w:szCs w:val="32"/>
        </w:rPr>
      </w:pPr>
      <w:r w:rsidRPr="00565F4E">
        <w:rPr>
          <w:rFonts w:cstheme="minorHAnsi"/>
          <w:sz w:val="32"/>
          <w:szCs w:val="32"/>
        </w:rPr>
        <w:t>Obrazloženje uz izvršenje financijskog plana za razdoblje</w:t>
      </w:r>
    </w:p>
    <w:p w:rsidR="00232DF3" w:rsidRPr="00565F4E" w:rsidRDefault="00232DF3" w:rsidP="00123117">
      <w:pPr>
        <w:spacing w:after="0"/>
        <w:jc w:val="center"/>
        <w:rPr>
          <w:rFonts w:cstheme="minorHAnsi"/>
          <w:sz w:val="32"/>
          <w:szCs w:val="32"/>
        </w:rPr>
      </w:pPr>
      <w:r w:rsidRPr="00565F4E">
        <w:rPr>
          <w:rFonts w:cstheme="minorHAnsi"/>
          <w:sz w:val="32"/>
          <w:szCs w:val="32"/>
        </w:rPr>
        <w:t>od 1.1.202</w:t>
      </w:r>
      <w:r w:rsidR="00FE649A" w:rsidRPr="00565F4E">
        <w:rPr>
          <w:rFonts w:cstheme="minorHAnsi"/>
          <w:sz w:val="32"/>
          <w:szCs w:val="32"/>
        </w:rPr>
        <w:t>4</w:t>
      </w:r>
      <w:r w:rsidRPr="00565F4E">
        <w:rPr>
          <w:rFonts w:cstheme="minorHAnsi"/>
          <w:sz w:val="32"/>
          <w:szCs w:val="32"/>
        </w:rPr>
        <w:t>. do 31.12.202</w:t>
      </w:r>
      <w:r w:rsidR="00FE649A" w:rsidRPr="00565F4E">
        <w:rPr>
          <w:rFonts w:cstheme="minorHAnsi"/>
          <w:sz w:val="32"/>
          <w:szCs w:val="32"/>
        </w:rPr>
        <w:t>4</w:t>
      </w:r>
      <w:r w:rsidRPr="00565F4E">
        <w:rPr>
          <w:rFonts w:cstheme="minorHAnsi"/>
          <w:sz w:val="32"/>
          <w:szCs w:val="32"/>
        </w:rPr>
        <w:t>. godine</w:t>
      </w:r>
    </w:p>
    <w:p w:rsidR="00232DF3" w:rsidRPr="00565F4E" w:rsidRDefault="00232DF3" w:rsidP="00123117">
      <w:pPr>
        <w:spacing w:after="0"/>
        <w:jc w:val="both"/>
        <w:rPr>
          <w:rFonts w:cstheme="minorHAnsi"/>
          <w:sz w:val="24"/>
          <w:szCs w:val="32"/>
        </w:rPr>
      </w:pPr>
    </w:p>
    <w:p w:rsidR="00232DF3" w:rsidRPr="00565F4E" w:rsidRDefault="00232DF3" w:rsidP="00123117">
      <w:pPr>
        <w:spacing w:after="0"/>
        <w:jc w:val="both"/>
        <w:rPr>
          <w:rFonts w:cstheme="minorHAnsi"/>
          <w:sz w:val="24"/>
          <w:szCs w:val="32"/>
        </w:rPr>
      </w:pPr>
      <w:r w:rsidRPr="00565F4E">
        <w:rPr>
          <w:rFonts w:cstheme="minorHAnsi"/>
          <w:sz w:val="24"/>
          <w:szCs w:val="32"/>
        </w:rPr>
        <w:t xml:space="preserve">Osnovna škola </w:t>
      </w:r>
      <w:proofErr w:type="spellStart"/>
      <w:r w:rsidRPr="00565F4E">
        <w:rPr>
          <w:rFonts w:cstheme="minorHAnsi"/>
          <w:sz w:val="24"/>
          <w:szCs w:val="32"/>
        </w:rPr>
        <w:t>Kuršanec</w:t>
      </w:r>
      <w:proofErr w:type="spellEnd"/>
      <w:r w:rsidRPr="00565F4E">
        <w:rPr>
          <w:rFonts w:cstheme="minorHAnsi"/>
          <w:sz w:val="24"/>
          <w:szCs w:val="32"/>
        </w:rPr>
        <w:t xml:space="preserve"> javna je ustanova čija je osnovna djelatnost uređena Zakonom o odgoju i obrazovanju u osnovnoj i srednjoj školi i Statutom Osnovne škole </w:t>
      </w:r>
      <w:proofErr w:type="spellStart"/>
      <w:r w:rsidRPr="00565F4E">
        <w:rPr>
          <w:rFonts w:cstheme="minorHAnsi"/>
          <w:sz w:val="24"/>
          <w:szCs w:val="32"/>
        </w:rPr>
        <w:t>Kuršanec</w:t>
      </w:r>
      <w:proofErr w:type="spellEnd"/>
      <w:r w:rsidRPr="00565F4E">
        <w:rPr>
          <w:rFonts w:cstheme="minorHAnsi"/>
          <w:sz w:val="24"/>
          <w:szCs w:val="32"/>
        </w:rPr>
        <w:t xml:space="preserve">, a osnivač škole je Grad Čakovec, Škola djeluje od 1999. godine kao samostalna ustanova. </w:t>
      </w:r>
    </w:p>
    <w:p w:rsidR="00BD6002" w:rsidRPr="00565F4E" w:rsidRDefault="00BD6002" w:rsidP="00123117">
      <w:pPr>
        <w:spacing w:after="0"/>
        <w:jc w:val="both"/>
        <w:rPr>
          <w:rFonts w:cstheme="minorHAnsi"/>
          <w:sz w:val="24"/>
          <w:szCs w:val="32"/>
        </w:rPr>
      </w:pPr>
    </w:p>
    <w:p w:rsidR="00232DF3" w:rsidRPr="00565F4E" w:rsidRDefault="00232DF3" w:rsidP="00123117">
      <w:pPr>
        <w:spacing w:after="0"/>
        <w:jc w:val="both"/>
        <w:rPr>
          <w:rFonts w:cstheme="minorHAnsi"/>
          <w:sz w:val="24"/>
          <w:szCs w:val="32"/>
        </w:rPr>
      </w:pPr>
      <w:r w:rsidRPr="00565F4E">
        <w:rPr>
          <w:rFonts w:cstheme="minorHAnsi"/>
          <w:sz w:val="24"/>
          <w:szCs w:val="32"/>
        </w:rPr>
        <w:t>Izvori sredstava za financiranje  djelatnosti Škole su:</w:t>
      </w:r>
    </w:p>
    <w:p w:rsidR="00232DF3" w:rsidRPr="00565F4E" w:rsidRDefault="00232DF3" w:rsidP="00123117">
      <w:pPr>
        <w:numPr>
          <w:ilvl w:val="0"/>
          <w:numId w:val="1"/>
        </w:numPr>
        <w:spacing w:after="0"/>
        <w:jc w:val="both"/>
        <w:rPr>
          <w:rFonts w:cstheme="minorHAnsi"/>
          <w:sz w:val="24"/>
          <w:szCs w:val="32"/>
        </w:rPr>
      </w:pPr>
      <w:r w:rsidRPr="00565F4E">
        <w:rPr>
          <w:rFonts w:cstheme="minorHAnsi"/>
          <w:sz w:val="24"/>
          <w:szCs w:val="32"/>
        </w:rPr>
        <w:t>Izvor 11 – nadležni proračun odnosno proračun osnivača - Grad Čakovec</w:t>
      </w:r>
    </w:p>
    <w:p w:rsidR="00232DF3" w:rsidRPr="00565F4E" w:rsidRDefault="00232DF3" w:rsidP="00123117">
      <w:pPr>
        <w:numPr>
          <w:ilvl w:val="0"/>
          <w:numId w:val="1"/>
        </w:numPr>
        <w:spacing w:after="0"/>
        <w:jc w:val="both"/>
        <w:rPr>
          <w:rFonts w:cstheme="minorHAnsi"/>
          <w:sz w:val="24"/>
          <w:szCs w:val="32"/>
        </w:rPr>
      </w:pPr>
      <w:r w:rsidRPr="00565F4E">
        <w:rPr>
          <w:rFonts w:cstheme="minorHAnsi"/>
          <w:sz w:val="24"/>
          <w:szCs w:val="32"/>
        </w:rPr>
        <w:t>Izvor 31 – vlastiti prihodi</w:t>
      </w:r>
    </w:p>
    <w:p w:rsidR="00232DF3" w:rsidRPr="00565F4E" w:rsidRDefault="00232DF3" w:rsidP="00123117">
      <w:pPr>
        <w:numPr>
          <w:ilvl w:val="0"/>
          <w:numId w:val="1"/>
        </w:numPr>
        <w:spacing w:after="0"/>
        <w:jc w:val="both"/>
        <w:rPr>
          <w:rFonts w:cstheme="minorHAnsi"/>
          <w:sz w:val="24"/>
          <w:szCs w:val="32"/>
        </w:rPr>
      </w:pPr>
      <w:r w:rsidRPr="00565F4E">
        <w:rPr>
          <w:rFonts w:cstheme="minorHAnsi"/>
          <w:sz w:val="24"/>
          <w:szCs w:val="32"/>
        </w:rPr>
        <w:t>Izvor 43 – namjenski prihodi</w:t>
      </w:r>
    </w:p>
    <w:p w:rsidR="00232DF3" w:rsidRPr="00565F4E" w:rsidRDefault="00232DF3" w:rsidP="00123117">
      <w:pPr>
        <w:numPr>
          <w:ilvl w:val="0"/>
          <w:numId w:val="1"/>
        </w:numPr>
        <w:spacing w:after="0"/>
        <w:jc w:val="both"/>
        <w:rPr>
          <w:rFonts w:cstheme="minorHAnsi"/>
          <w:sz w:val="24"/>
          <w:szCs w:val="32"/>
        </w:rPr>
      </w:pPr>
      <w:r w:rsidRPr="00565F4E">
        <w:rPr>
          <w:rFonts w:cstheme="minorHAnsi"/>
          <w:sz w:val="24"/>
          <w:szCs w:val="32"/>
        </w:rPr>
        <w:t>Izvor 51 – pomoći  EU</w:t>
      </w:r>
    </w:p>
    <w:p w:rsidR="00232DF3" w:rsidRPr="00565F4E" w:rsidRDefault="00232DF3" w:rsidP="00123117">
      <w:pPr>
        <w:numPr>
          <w:ilvl w:val="0"/>
          <w:numId w:val="1"/>
        </w:numPr>
        <w:spacing w:after="0"/>
        <w:jc w:val="both"/>
        <w:rPr>
          <w:rFonts w:cstheme="minorHAnsi"/>
          <w:sz w:val="24"/>
          <w:szCs w:val="32"/>
        </w:rPr>
      </w:pPr>
      <w:r w:rsidRPr="00565F4E">
        <w:rPr>
          <w:rFonts w:cstheme="minorHAnsi"/>
          <w:sz w:val="24"/>
          <w:szCs w:val="32"/>
        </w:rPr>
        <w:t>Izvor 52 – pomoći iz nenadležnog proračuna ( državni, županijski i proračuni drugih JLS proračun)</w:t>
      </w:r>
    </w:p>
    <w:p w:rsidR="00232DF3" w:rsidRPr="00565F4E" w:rsidRDefault="00232DF3" w:rsidP="00123117">
      <w:pPr>
        <w:numPr>
          <w:ilvl w:val="0"/>
          <w:numId w:val="1"/>
        </w:numPr>
        <w:spacing w:after="0"/>
        <w:jc w:val="both"/>
        <w:rPr>
          <w:rFonts w:cstheme="minorHAnsi"/>
          <w:sz w:val="24"/>
          <w:szCs w:val="32"/>
        </w:rPr>
      </w:pPr>
      <w:r w:rsidRPr="00565F4E">
        <w:rPr>
          <w:rFonts w:cstheme="minorHAnsi"/>
          <w:sz w:val="24"/>
          <w:szCs w:val="32"/>
        </w:rPr>
        <w:t>Izvor  61 - donacije</w:t>
      </w:r>
    </w:p>
    <w:p w:rsidR="00232DF3" w:rsidRPr="00565F4E" w:rsidRDefault="00123117" w:rsidP="00123117">
      <w:pPr>
        <w:spacing w:after="0"/>
        <w:jc w:val="both"/>
        <w:rPr>
          <w:rFonts w:cstheme="minorHAnsi"/>
          <w:sz w:val="24"/>
          <w:szCs w:val="32"/>
        </w:rPr>
      </w:pPr>
      <w:r w:rsidRPr="00565F4E">
        <w:rPr>
          <w:rFonts w:cstheme="minorHAnsi"/>
          <w:sz w:val="24"/>
          <w:szCs w:val="32"/>
        </w:rPr>
        <w:t>Sadržaj , obaveza i rokovi sastavljanja, donošenja i podnošenja izvještaja nadležnim tijelima kao i obveza objave o izvršenju financijskog plana propisani su odredbama Zakona o proračunu (NN144/21) te Pravilnikom o polugodišnjem i godišnjem izvještaju o izvršenju proračuna (NN 144/21).</w:t>
      </w:r>
    </w:p>
    <w:p w:rsidR="00232DF3" w:rsidRPr="00565F4E" w:rsidRDefault="00232DF3" w:rsidP="00232DF3">
      <w:pPr>
        <w:spacing w:after="0"/>
        <w:jc w:val="center"/>
        <w:rPr>
          <w:rFonts w:cstheme="minorHAnsi"/>
          <w:sz w:val="24"/>
          <w:szCs w:val="24"/>
        </w:rPr>
      </w:pPr>
    </w:p>
    <w:p w:rsidR="00123117" w:rsidRPr="00565F4E" w:rsidRDefault="00123117" w:rsidP="00123117">
      <w:pPr>
        <w:spacing w:after="0"/>
        <w:rPr>
          <w:sz w:val="24"/>
          <w:szCs w:val="24"/>
        </w:rPr>
      </w:pPr>
      <w:r w:rsidRPr="00565F4E">
        <w:rPr>
          <w:sz w:val="24"/>
          <w:szCs w:val="24"/>
        </w:rPr>
        <w:t>Prema člancima 81. st.1. ZOP-a, polugodišnji i godišnji izvještaj o izvršenju financijskog plana  proračunskog korisnika sadrže:</w:t>
      </w:r>
    </w:p>
    <w:p w:rsidR="00123117" w:rsidRPr="00565F4E" w:rsidRDefault="00123117" w:rsidP="00123117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565F4E">
        <w:rPr>
          <w:sz w:val="24"/>
          <w:szCs w:val="24"/>
        </w:rPr>
        <w:t>Opći dio proračuna</w:t>
      </w:r>
    </w:p>
    <w:p w:rsidR="00123117" w:rsidRPr="00565F4E" w:rsidRDefault="00123117" w:rsidP="00123117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565F4E">
        <w:rPr>
          <w:sz w:val="24"/>
          <w:szCs w:val="24"/>
        </w:rPr>
        <w:t>Posebni dio proračuna</w:t>
      </w:r>
    </w:p>
    <w:p w:rsidR="00123117" w:rsidRPr="00565F4E" w:rsidRDefault="00123117" w:rsidP="00123117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565F4E">
        <w:rPr>
          <w:sz w:val="24"/>
          <w:szCs w:val="24"/>
        </w:rPr>
        <w:t>Obrazloženje ostvarenja prihoda i primitaka te realizacija rashoda i izdataka</w:t>
      </w:r>
    </w:p>
    <w:p w:rsidR="00123117" w:rsidRPr="00565F4E" w:rsidRDefault="00123117" w:rsidP="00123117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565F4E">
        <w:rPr>
          <w:sz w:val="24"/>
          <w:szCs w:val="24"/>
        </w:rPr>
        <w:t>Posebne izvještaje</w:t>
      </w:r>
    </w:p>
    <w:p w:rsidR="00123117" w:rsidRPr="00565F4E" w:rsidRDefault="00123117" w:rsidP="00123117">
      <w:pPr>
        <w:spacing w:after="0"/>
        <w:rPr>
          <w:sz w:val="24"/>
          <w:szCs w:val="24"/>
        </w:rPr>
      </w:pPr>
      <w:r w:rsidRPr="00565F4E">
        <w:rPr>
          <w:sz w:val="24"/>
          <w:szCs w:val="24"/>
        </w:rPr>
        <w:t>Opći dio polugodišnjeg i godišnjeg izvještaja o izvršenju financijskog plana proračunskog korisnika sadrži:</w:t>
      </w:r>
    </w:p>
    <w:p w:rsidR="00123117" w:rsidRPr="00565F4E" w:rsidRDefault="00123117" w:rsidP="00123117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565F4E">
        <w:rPr>
          <w:sz w:val="24"/>
          <w:szCs w:val="24"/>
        </w:rPr>
        <w:t>Sažetak Računa prihoda i rashoda i Račun financiranja</w:t>
      </w:r>
    </w:p>
    <w:p w:rsidR="00123117" w:rsidRPr="00565F4E" w:rsidRDefault="00123117" w:rsidP="00123117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565F4E">
        <w:rPr>
          <w:sz w:val="24"/>
          <w:szCs w:val="24"/>
        </w:rPr>
        <w:t>Račun prihoda i rashoda i Račun financiranja</w:t>
      </w:r>
    </w:p>
    <w:p w:rsidR="00123117" w:rsidRPr="00565F4E" w:rsidRDefault="00123117" w:rsidP="00123117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565F4E">
        <w:rPr>
          <w:sz w:val="24"/>
          <w:szCs w:val="24"/>
        </w:rPr>
        <w:t>Preneseni višak ili preneseni manjak prihoda nad rashodima</w:t>
      </w:r>
    </w:p>
    <w:p w:rsidR="00123117" w:rsidRPr="00565F4E" w:rsidRDefault="00123117" w:rsidP="00AE6D26">
      <w:pPr>
        <w:spacing w:after="0"/>
        <w:jc w:val="both"/>
        <w:rPr>
          <w:sz w:val="24"/>
          <w:szCs w:val="24"/>
        </w:rPr>
      </w:pPr>
      <w:r w:rsidRPr="00565F4E">
        <w:rPr>
          <w:sz w:val="24"/>
          <w:szCs w:val="24"/>
        </w:rPr>
        <w:t xml:space="preserve">Račun prihoda i rashoda OŠ </w:t>
      </w:r>
      <w:proofErr w:type="spellStart"/>
      <w:r w:rsidRPr="00565F4E">
        <w:rPr>
          <w:sz w:val="24"/>
          <w:szCs w:val="24"/>
        </w:rPr>
        <w:t>Kuršanec</w:t>
      </w:r>
      <w:proofErr w:type="spellEnd"/>
      <w:r w:rsidRPr="00565F4E">
        <w:rPr>
          <w:sz w:val="24"/>
          <w:szCs w:val="24"/>
        </w:rPr>
        <w:t xml:space="preserve"> sastoji se od prihoda i rashoda iskazanih prema izvorima financiranja i ekonomskoj klasifikaciji te rashoda iskazanih prema funkcijskoj klasifikaciji.</w:t>
      </w:r>
    </w:p>
    <w:p w:rsidR="00123117" w:rsidRPr="00565F4E" w:rsidRDefault="00123117" w:rsidP="00AE6D26">
      <w:pPr>
        <w:spacing w:after="0"/>
        <w:jc w:val="both"/>
        <w:rPr>
          <w:rFonts w:cstheme="minorHAnsi"/>
          <w:sz w:val="32"/>
          <w:szCs w:val="32"/>
        </w:rPr>
      </w:pPr>
    </w:p>
    <w:p w:rsidR="005356E1" w:rsidRPr="00565F4E" w:rsidRDefault="005356E1" w:rsidP="00AE6D26">
      <w:pPr>
        <w:spacing w:after="0"/>
        <w:jc w:val="both"/>
        <w:rPr>
          <w:rFonts w:cstheme="minorHAnsi"/>
          <w:i/>
          <w:sz w:val="24"/>
          <w:szCs w:val="24"/>
        </w:rPr>
      </w:pPr>
      <w:r w:rsidRPr="00565F4E">
        <w:rPr>
          <w:rFonts w:cstheme="minorHAnsi"/>
          <w:i/>
          <w:sz w:val="24"/>
          <w:szCs w:val="24"/>
        </w:rPr>
        <w:lastRenderedPageBreak/>
        <w:t>1. OPĆI DIO PRORAČUNA</w:t>
      </w:r>
    </w:p>
    <w:p w:rsidR="005356E1" w:rsidRPr="00565F4E" w:rsidRDefault="005356E1" w:rsidP="00AE6D26">
      <w:pPr>
        <w:spacing w:after="0"/>
        <w:jc w:val="both"/>
        <w:rPr>
          <w:rFonts w:cstheme="minorHAnsi"/>
          <w:sz w:val="24"/>
          <w:szCs w:val="24"/>
        </w:rPr>
      </w:pPr>
    </w:p>
    <w:p w:rsidR="005356E1" w:rsidRPr="00565F4E" w:rsidRDefault="005356E1" w:rsidP="00AE6D26">
      <w:pPr>
        <w:spacing w:after="0"/>
        <w:jc w:val="both"/>
        <w:rPr>
          <w:rFonts w:cstheme="minorHAnsi"/>
          <w:sz w:val="24"/>
          <w:szCs w:val="24"/>
        </w:rPr>
      </w:pPr>
      <w:r w:rsidRPr="00565F4E">
        <w:rPr>
          <w:rFonts w:cstheme="minorHAnsi"/>
          <w:sz w:val="24"/>
          <w:szCs w:val="24"/>
        </w:rPr>
        <w:t xml:space="preserve">U izvještajnom razdoblju ostvareni su ukupni prihodi i primici od </w:t>
      </w:r>
      <w:r w:rsidR="00B328E2" w:rsidRPr="00565F4E">
        <w:rPr>
          <w:rFonts w:cstheme="minorHAnsi"/>
          <w:sz w:val="24"/>
          <w:szCs w:val="24"/>
        </w:rPr>
        <w:t>2.520.857,27</w:t>
      </w:r>
      <w:r w:rsidR="00AE6D26" w:rsidRPr="00565F4E">
        <w:rPr>
          <w:rFonts w:cstheme="minorHAnsi"/>
          <w:sz w:val="24"/>
          <w:szCs w:val="24"/>
        </w:rPr>
        <w:t xml:space="preserve"> eura , dok ukupni rashodi i izdaci iznose </w:t>
      </w:r>
      <w:r w:rsidR="00B328E2" w:rsidRPr="00565F4E">
        <w:rPr>
          <w:rFonts w:cstheme="minorHAnsi"/>
          <w:sz w:val="24"/>
          <w:szCs w:val="24"/>
        </w:rPr>
        <w:t>2.558.773,95</w:t>
      </w:r>
      <w:r w:rsidR="00AE6D26" w:rsidRPr="00565F4E">
        <w:rPr>
          <w:rFonts w:cstheme="minorHAnsi"/>
          <w:sz w:val="24"/>
          <w:szCs w:val="24"/>
        </w:rPr>
        <w:t xml:space="preserve"> eura iz čega proizlazi rezultat poslovanja za 202</w:t>
      </w:r>
      <w:r w:rsidR="00B328E2" w:rsidRPr="00565F4E">
        <w:rPr>
          <w:rFonts w:cstheme="minorHAnsi"/>
          <w:sz w:val="24"/>
          <w:szCs w:val="24"/>
        </w:rPr>
        <w:t>4</w:t>
      </w:r>
      <w:r w:rsidR="00AE6D26" w:rsidRPr="00565F4E">
        <w:rPr>
          <w:rFonts w:cstheme="minorHAnsi"/>
          <w:sz w:val="24"/>
          <w:szCs w:val="24"/>
        </w:rPr>
        <w:t xml:space="preserve">. godinu </w:t>
      </w:r>
      <w:r w:rsidR="007A3EFA" w:rsidRPr="00565F4E">
        <w:rPr>
          <w:rFonts w:cstheme="minorHAnsi"/>
          <w:sz w:val="24"/>
          <w:szCs w:val="24"/>
        </w:rPr>
        <w:t>-11.589,55</w:t>
      </w:r>
      <w:r w:rsidR="00AE6D26" w:rsidRPr="00565F4E">
        <w:rPr>
          <w:rFonts w:cstheme="minorHAnsi"/>
          <w:sz w:val="24"/>
          <w:szCs w:val="24"/>
        </w:rPr>
        <w:t xml:space="preserve"> eura. Rezultat poslovanja 202</w:t>
      </w:r>
      <w:r w:rsidR="007A3EFA" w:rsidRPr="00565F4E">
        <w:rPr>
          <w:rFonts w:cstheme="minorHAnsi"/>
          <w:sz w:val="24"/>
          <w:szCs w:val="24"/>
        </w:rPr>
        <w:t>4</w:t>
      </w:r>
      <w:r w:rsidR="00AE6D26" w:rsidRPr="00565F4E">
        <w:rPr>
          <w:rFonts w:cstheme="minorHAnsi"/>
          <w:sz w:val="24"/>
          <w:szCs w:val="24"/>
        </w:rPr>
        <w:t>. godine čini razlika prihoda i rashoda 202</w:t>
      </w:r>
      <w:r w:rsidR="007A3EFA" w:rsidRPr="00565F4E">
        <w:rPr>
          <w:rFonts w:cstheme="minorHAnsi"/>
          <w:sz w:val="24"/>
          <w:szCs w:val="24"/>
        </w:rPr>
        <w:t>4</w:t>
      </w:r>
      <w:r w:rsidR="00AE6D26" w:rsidRPr="00565F4E">
        <w:rPr>
          <w:rFonts w:cstheme="minorHAnsi"/>
          <w:sz w:val="24"/>
          <w:szCs w:val="24"/>
        </w:rPr>
        <w:t>. godine kao i preneseni rezultat iz 202</w:t>
      </w:r>
      <w:r w:rsidR="007A3EFA" w:rsidRPr="00565F4E">
        <w:rPr>
          <w:rFonts w:cstheme="minorHAnsi"/>
          <w:sz w:val="24"/>
          <w:szCs w:val="24"/>
        </w:rPr>
        <w:t>3</w:t>
      </w:r>
      <w:r w:rsidR="00AE6D26" w:rsidRPr="00565F4E">
        <w:rPr>
          <w:rFonts w:cstheme="minorHAnsi"/>
          <w:sz w:val="24"/>
          <w:szCs w:val="24"/>
        </w:rPr>
        <w:t xml:space="preserve">. godine u iznosu od </w:t>
      </w:r>
      <w:r w:rsidR="007A3EFA" w:rsidRPr="00565F4E">
        <w:rPr>
          <w:rFonts w:cstheme="minorHAnsi"/>
          <w:sz w:val="24"/>
          <w:szCs w:val="24"/>
        </w:rPr>
        <w:t>26.327,13</w:t>
      </w:r>
      <w:r w:rsidR="00AE6D26" w:rsidRPr="00565F4E">
        <w:rPr>
          <w:rFonts w:cstheme="minorHAnsi"/>
          <w:sz w:val="24"/>
          <w:szCs w:val="24"/>
        </w:rPr>
        <w:t xml:space="preserve"> eura. Rezultat 202</w:t>
      </w:r>
      <w:r w:rsidR="007A3EFA" w:rsidRPr="00565F4E">
        <w:rPr>
          <w:rFonts w:cstheme="minorHAnsi"/>
          <w:sz w:val="24"/>
          <w:szCs w:val="24"/>
        </w:rPr>
        <w:t>4</w:t>
      </w:r>
      <w:r w:rsidR="00AE6D26" w:rsidRPr="00565F4E">
        <w:rPr>
          <w:rFonts w:cstheme="minorHAnsi"/>
          <w:sz w:val="24"/>
          <w:szCs w:val="24"/>
        </w:rPr>
        <w:t xml:space="preserve">. godine </w:t>
      </w:r>
      <w:r w:rsidR="007A3EFA" w:rsidRPr="00565F4E">
        <w:rPr>
          <w:rFonts w:cstheme="minorHAnsi"/>
          <w:sz w:val="24"/>
          <w:szCs w:val="24"/>
        </w:rPr>
        <w:t xml:space="preserve">umanjeni je </w:t>
      </w:r>
      <w:r w:rsidR="00AE6D26" w:rsidRPr="00565F4E">
        <w:rPr>
          <w:rFonts w:cstheme="minorHAnsi"/>
          <w:sz w:val="24"/>
          <w:szCs w:val="24"/>
        </w:rPr>
        <w:t xml:space="preserve"> u odnosu na 202</w:t>
      </w:r>
      <w:r w:rsidR="007A3EFA" w:rsidRPr="00565F4E">
        <w:rPr>
          <w:rFonts w:cstheme="minorHAnsi"/>
          <w:sz w:val="24"/>
          <w:szCs w:val="24"/>
        </w:rPr>
        <w:t>3</w:t>
      </w:r>
      <w:r w:rsidR="00AE6D26" w:rsidRPr="00565F4E">
        <w:rPr>
          <w:rFonts w:cstheme="minorHAnsi"/>
          <w:sz w:val="24"/>
          <w:szCs w:val="24"/>
        </w:rPr>
        <w:t xml:space="preserve">. </w:t>
      </w:r>
      <w:r w:rsidR="007A3EFA" w:rsidRPr="00565F4E">
        <w:rPr>
          <w:rFonts w:cstheme="minorHAnsi"/>
          <w:sz w:val="24"/>
          <w:szCs w:val="24"/>
        </w:rPr>
        <w:t>godinu, odnosno u negativnom je predznaku prvenstveno radi neostvarenih prihoda za podmirenje rashoda za udžbenike od strane MZOM-a</w:t>
      </w:r>
    </w:p>
    <w:p w:rsidR="00AE6D26" w:rsidRPr="00565F4E" w:rsidRDefault="00AE6D26" w:rsidP="00AE6D26">
      <w:pPr>
        <w:spacing w:after="0"/>
        <w:jc w:val="both"/>
        <w:rPr>
          <w:rFonts w:cstheme="minorHAnsi"/>
          <w:sz w:val="24"/>
          <w:szCs w:val="24"/>
        </w:rPr>
      </w:pPr>
    </w:p>
    <w:p w:rsidR="00AE6D26" w:rsidRPr="00565F4E" w:rsidRDefault="00AE6D26" w:rsidP="00AE6D26">
      <w:pPr>
        <w:spacing w:after="0"/>
        <w:jc w:val="both"/>
        <w:rPr>
          <w:rFonts w:cstheme="minorHAnsi"/>
          <w:i/>
          <w:sz w:val="24"/>
          <w:szCs w:val="24"/>
        </w:rPr>
      </w:pPr>
      <w:r w:rsidRPr="00565F4E">
        <w:rPr>
          <w:rFonts w:cstheme="minorHAnsi"/>
          <w:i/>
          <w:sz w:val="24"/>
          <w:szCs w:val="24"/>
        </w:rPr>
        <w:t>2. OBRAZLOŽENJE OSTVARENJA PRIHODA I PRIMITAKA, R</w:t>
      </w:r>
      <w:r w:rsidR="00BD6002" w:rsidRPr="00565F4E">
        <w:rPr>
          <w:rFonts w:cstheme="minorHAnsi"/>
          <w:i/>
          <w:sz w:val="24"/>
          <w:szCs w:val="24"/>
        </w:rPr>
        <w:t>EA</w:t>
      </w:r>
      <w:r w:rsidRPr="00565F4E">
        <w:rPr>
          <w:rFonts w:cstheme="minorHAnsi"/>
          <w:i/>
          <w:sz w:val="24"/>
          <w:szCs w:val="24"/>
        </w:rPr>
        <w:t>LIZACIJA RASHODA I IZDATAKA</w:t>
      </w:r>
    </w:p>
    <w:p w:rsidR="005356E1" w:rsidRPr="00565F4E" w:rsidRDefault="005356E1" w:rsidP="00123117">
      <w:pPr>
        <w:spacing w:after="0"/>
        <w:rPr>
          <w:rFonts w:cstheme="minorHAnsi"/>
          <w:sz w:val="32"/>
          <w:szCs w:val="32"/>
        </w:rPr>
      </w:pPr>
    </w:p>
    <w:p w:rsidR="004F360B" w:rsidRPr="00565F4E" w:rsidRDefault="004F360B" w:rsidP="00123117">
      <w:pPr>
        <w:spacing w:after="0"/>
        <w:rPr>
          <w:rFonts w:cstheme="minorHAnsi"/>
          <w:i/>
          <w:sz w:val="18"/>
          <w:szCs w:val="32"/>
        </w:rPr>
      </w:pPr>
      <w:r w:rsidRPr="00565F4E">
        <w:rPr>
          <w:rFonts w:cstheme="minorHAnsi"/>
          <w:i/>
          <w:sz w:val="18"/>
          <w:szCs w:val="32"/>
        </w:rPr>
        <w:t>Tab.1 prikaz prihoda, 2 razina</w:t>
      </w:r>
    </w:p>
    <w:p w:rsidR="00B328E2" w:rsidRPr="00565F4E" w:rsidRDefault="00B328E2" w:rsidP="00B3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5F4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760720" cy="2059940"/>
            <wp:effectExtent l="0" t="0" r="0" b="0"/>
            <wp:docPr id="8" name="Slika 8" descr="C:\Users\Admin\Desktop\priho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rihod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5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AEF" w:rsidRPr="00565F4E" w:rsidRDefault="00CD332B" w:rsidP="00B30E65">
      <w:pPr>
        <w:spacing w:after="0"/>
        <w:jc w:val="both"/>
        <w:rPr>
          <w:rFonts w:cstheme="minorHAnsi"/>
          <w:sz w:val="24"/>
          <w:szCs w:val="24"/>
        </w:rPr>
      </w:pPr>
      <w:r w:rsidRPr="00565F4E">
        <w:rPr>
          <w:rFonts w:cstheme="minorHAnsi"/>
          <w:sz w:val="24"/>
          <w:szCs w:val="24"/>
        </w:rPr>
        <w:t xml:space="preserve">Prihodi od nadležnog proračuna, odnosno Grada Čakovca,  u 2024. godinu </w:t>
      </w:r>
      <w:r w:rsidR="00C40E50" w:rsidRPr="00565F4E">
        <w:rPr>
          <w:rFonts w:cstheme="minorHAnsi"/>
          <w:sz w:val="24"/>
          <w:szCs w:val="24"/>
        </w:rPr>
        <w:t>uvećani su u odnosu na prethodna razdoblja. Uvećani su prvenstveno prihodi za materijalne troškove, odnosno decentralizirane funkcije škole, ali i prihodi za provođenje dodatne nastave građanskog odgoja. Također,  Grad Čakovec u 2024. godini također je financirao rad e-tehničara, odnosno stručnjaka u području IT-a za održavanje IT opreme škole. Isto tako na CTO 67 nalaze se i prihodi za plaće i materijalna prava pomoćnika u nastavi čije je financiranje u stopostotnom iznosu preuzeo Grad Čakovec, njih čak 9.</w:t>
      </w:r>
    </w:p>
    <w:p w:rsidR="00C40E50" w:rsidRPr="00565F4E" w:rsidRDefault="00C40E50" w:rsidP="00B30E65">
      <w:pPr>
        <w:spacing w:after="0"/>
        <w:jc w:val="both"/>
        <w:rPr>
          <w:rFonts w:cstheme="minorHAnsi"/>
          <w:sz w:val="24"/>
          <w:szCs w:val="24"/>
        </w:rPr>
      </w:pPr>
      <w:r w:rsidRPr="00565F4E">
        <w:rPr>
          <w:rFonts w:cstheme="minorHAnsi"/>
          <w:sz w:val="24"/>
          <w:szCs w:val="24"/>
        </w:rPr>
        <w:t>Prihodi pomoćnika ranijih godina bili su evidentirana na kontima 671, 633 i 638, kako u planovima tako i u izvršenju, no 2024. godine uputom Grada, ukupne prihode za pomoćnike u nastavi evidentiramo na CTO 6393.</w:t>
      </w:r>
    </w:p>
    <w:p w:rsidR="00C40E50" w:rsidRPr="00565F4E" w:rsidRDefault="00C40E50" w:rsidP="00B30E65">
      <w:pPr>
        <w:spacing w:after="0"/>
        <w:jc w:val="both"/>
        <w:rPr>
          <w:rFonts w:cstheme="minorHAnsi"/>
          <w:sz w:val="24"/>
          <w:szCs w:val="24"/>
        </w:rPr>
      </w:pPr>
    </w:p>
    <w:p w:rsidR="00C40E50" w:rsidRPr="00565F4E" w:rsidRDefault="00C40E50" w:rsidP="00B30E65">
      <w:pPr>
        <w:spacing w:after="0"/>
        <w:jc w:val="both"/>
        <w:rPr>
          <w:rFonts w:cstheme="minorHAnsi"/>
          <w:sz w:val="24"/>
          <w:szCs w:val="24"/>
        </w:rPr>
      </w:pPr>
      <w:r w:rsidRPr="00565F4E">
        <w:rPr>
          <w:rFonts w:cstheme="minorHAnsi"/>
          <w:sz w:val="24"/>
          <w:szCs w:val="24"/>
        </w:rPr>
        <w:t xml:space="preserve">Konto 63 većinskim djelom evidentira prihode za plaće, prijevoz i ostala materijalna prava zaposlenika koja se financiraju iz sredstava MZOM-a. Na kontu 6361 evidentira se prihod prehrane za učenike što se financira iz državnog proračuna, kao i drugi obrazovni materijali za učenike čiji su roditelji korisnici ZMN. Ministarstvo znanosti, obrazovanja i mladih i 2024. godine financirao je školu u prirodi za učenike pripadnike romske nacionalne manjine, baš kao i udžbenike za sve učenike škole. </w:t>
      </w:r>
    </w:p>
    <w:p w:rsidR="00B30E65" w:rsidRPr="00565F4E" w:rsidRDefault="00B30E65" w:rsidP="00B30E65">
      <w:pPr>
        <w:spacing w:after="0"/>
        <w:jc w:val="both"/>
        <w:rPr>
          <w:rFonts w:cstheme="minorHAnsi"/>
          <w:sz w:val="24"/>
          <w:szCs w:val="24"/>
        </w:rPr>
      </w:pPr>
    </w:p>
    <w:p w:rsidR="00B30E65" w:rsidRPr="00565F4E" w:rsidRDefault="00B30E65" w:rsidP="00B30E65">
      <w:pPr>
        <w:spacing w:after="0"/>
        <w:jc w:val="both"/>
        <w:rPr>
          <w:rFonts w:cstheme="minorHAnsi"/>
          <w:sz w:val="24"/>
          <w:szCs w:val="24"/>
        </w:rPr>
      </w:pPr>
      <w:r w:rsidRPr="00565F4E">
        <w:rPr>
          <w:rFonts w:cstheme="minorHAnsi"/>
          <w:sz w:val="24"/>
          <w:szCs w:val="24"/>
        </w:rPr>
        <w:lastRenderedPageBreak/>
        <w:t xml:space="preserve">Prihodi po posebnim propisima evidentiraju prihode od djelatnika za školsku užinu u 2024. godini, dok pak konto prihoda od imovine prikazuje iznos od 40,32 eura, što je kamata na depozit u banci u 2024. godini. </w:t>
      </w:r>
    </w:p>
    <w:p w:rsidR="0058474A" w:rsidRPr="00565F4E" w:rsidRDefault="0058474A" w:rsidP="00123117">
      <w:pPr>
        <w:spacing w:after="0"/>
        <w:rPr>
          <w:rFonts w:cstheme="minorHAnsi"/>
          <w:sz w:val="32"/>
          <w:szCs w:val="32"/>
        </w:rPr>
      </w:pPr>
    </w:p>
    <w:p w:rsidR="004F360B" w:rsidRPr="00565F4E" w:rsidRDefault="004F360B" w:rsidP="004F360B">
      <w:pPr>
        <w:spacing w:after="0"/>
        <w:rPr>
          <w:rFonts w:cstheme="minorHAnsi"/>
          <w:i/>
          <w:sz w:val="18"/>
          <w:szCs w:val="32"/>
        </w:rPr>
      </w:pPr>
      <w:r w:rsidRPr="00565F4E">
        <w:rPr>
          <w:rFonts w:cstheme="minorHAnsi"/>
          <w:i/>
          <w:sz w:val="18"/>
          <w:szCs w:val="32"/>
        </w:rPr>
        <w:t>Tab.2 prikaz rashoda, 2 razina</w:t>
      </w:r>
    </w:p>
    <w:p w:rsidR="00A45A18" w:rsidRPr="00565F4E" w:rsidRDefault="00A45A18" w:rsidP="00A45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5F4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760720" cy="1669415"/>
            <wp:effectExtent l="0" t="0" r="0" b="6985"/>
            <wp:docPr id="2" name="Slika 2" descr="C:\Users\Admin\Desktop\Snimka zaslona 2025-03-21 1139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nimka zaslona 2025-03-21 11392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8E2" w:rsidRPr="00565F4E" w:rsidRDefault="00B328E2" w:rsidP="004F360B">
      <w:pPr>
        <w:spacing w:after="0"/>
        <w:rPr>
          <w:rFonts w:cstheme="minorHAnsi"/>
          <w:sz w:val="18"/>
          <w:szCs w:val="32"/>
        </w:rPr>
      </w:pPr>
    </w:p>
    <w:p w:rsidR="00C42E0C" w:rsidRPr="00565F4E" w:rsidRDefault="00B30E65" w:rsidP="00C42E0C">
      <w:pPr>
        <w:spacing w:after="0" w:line="276" w:lineRule="auto"/>
        <w:jc w:val="both"/>
        <w:rPr>
          <w:rFonts w:cstheme="minorHAnsi"/>
          <w:sz w:val="24"/>
          <w:szCs w:val="32"/>
        </w:rPr>
      </w:pPr>
      <w:r w:rsidRPr="00565F4E">
        <w:rPr>
          <w:rFonts w:cstheme="minorHAnsi"/>
          <w:sz w:val="24"/>
          <w:szCs w:val="32"/>
        </w:rPr>
        <w:t xml:space="preserve">Rashodi u 2024. godini uvećani su u odnosu na prethodne godine iz istog razloga zbog kojeg su uvećani i prihodi. Došlo je do povećanja kakao prihoda, tako i rashoda za materijalna sredstava, zapošljavanja većeg broja pomoćnika u nastavi, rasta plaća u javnom sektoru i dr. </w:t>
      </w:r>
    </w:p>
    <w:p w:rsidR="00895035" w:rsidRPr="00565F4E" w:rsidRDefault="00895035" w:rsidP="00C42E0C">
      <w:pPr>
        <w:spacing w:after="0" w:line="276" w:lineRule="auto"/>
        <w:jc w:val="both"/>
        <w:rPr>
          <w:rFonts w:cstheme="minorHAnsi"/>
          <w:sz w:val="24"/>
          <w:szCs w:val="32"/>
        </w:rPr>
      </w:pPr>
    </w:p>
    <w:p w:rsidR="00895035" w:rsidRPr="00565F4E" w:rsidRDefault="00895035" w:rsidP="00C42E0C">
      <w:pPr>
        <w:spacing w:after="0" w:line="276" w:lineRule="auto"/>
        <w:jc w:val="both"/>
        <w:rPr>
          <w:rFonts w:cstheme="minorHAnsi"/>
          <w:sz w:val="24"/>
          <w:szCs w:val="32"/>
        </w:rPr>
      </w:pPr>
    </w:p>
    <w:p w:rsidR="004F360B" w:rsidRPr="00565F4E" w:rsidRDefault="004F360B" w:rsidP="00445529">
      <w:pPr>
        <w:jc w:val="both"/>
        <w:rPr>
          <w:rFonts w:cstheme="minorHAnsi"/>
          <w:i/>
          <w:sz w:val="24"/>
          <w:szCs w:val="32"/>
        </w:rPr>
      </w:pPr>
      <w:r w:rsidRPr="00565F4E">
        <w:rPr>
          <w:rFonts w:cstheme="minorHAnsi"/>
          <w:i/>
          <w:sz w:val="24"/>
          <w:szCs w:val="32"/>
        </w:rPr>
        <w:t>3. POSEBNI DIO PRORAČUNA</w:t>
      </w:r>
    </w:p>
    <w:p w:rsidR="004F360B" w:rsidRPr="00565F4E" w:rsidRDefault="004F360B" w:rsidP="00445529">
      <w:pPr>
        <w:jc w:val="both"/>
        <w:rPr>
          <w:rFonts w:cstheme="minorHAnsi"/>
          <w:sz w:val="24"/>
          <w:szCs w:val="32"/>
        </w:rPr>
      </w:pPr>
      <w:r w:rsidRPr="00565F4E">
        <w:rPr>
          <w:rFonts w:cstheme="minorHAnsi"/>
          <w:sz w:val="24"/>
          <w:szCs w:val="32"/>
        </w:rPr>
        <w:t>Posebni dio proračuna sadrži podatke izvršenja rashoda i izdataka po organizacijskoj klasifikaciji i programskoj klasifikaciji – rashodi i izdaci unutar razdjela i glava proračuna prikazuju se po programima, aktivnostima i računima računskog plana proračuna. U nastavku se daje obrazloženje realizacije rashoda i izdataka po navedenim proračunskim klasifikacijama. U posebnom dijelu, za razliku od općeg dijela proračuna, ne prikazuju se usporedni podaci izvještajnog razdoblja prethodne godine.</w:t>
      </w:r>
    </w:p>
    <w:p w:rsidR="00C83FE1" w:rsidRPr="00565F4E" w:rsidRDefault="00C83FE1" w:rsidP="00C83FE1">
      <w:pPr>
        <w:rPr>
          <w:rFonts w:ascii="Calibri" w:hAnsi="Calibri" w:cs="Calibri"/>
          <w:b/>
          <w:bCs/>
        </w:rPr>
      </w:pPr>
      <w:r w:rsidRPr="00565F4E">
        <w:rPr>
          <w:rFonts w:ascii="Calibri" w:hAnsi="Calibri" w:cs="Calibri"/>
          <w:b/>
          <w:bCs/>
        </w:rPr>
        <w:t xml:space="preserve">PROGRAM 1035 PLAN RASHODA I IZDATAKA OSNOVNIH ŠKOLA </w:t>
      </w:r>
    </w:p>
    <w:p w:rsidR="00C83FE1" w:rsidRPr="00565F4E" w:rsidRDefault="00C83FE1" w:rsidP="00C83FE1">
      <w:pPr>
        <w:rPr>
          <w:rFonts w:ascii="Calibri" w:hAnsi="Calibri" w:cs="Calibri"/>
        </w:rPr>
      </w:pPr>
      <w:r w:rsidRPr="00565F4E">
        <w:rPr>
          <w:rFonts w:ascii="Calibri" w:hAnsi="Calibri" w:cs="Calibri"/>
        </w:rPr>
        <w:t xml:space="preserve">Cilj programa: </w:t>
      </w:r>
    </w:p>
    <w:p w:rsidR="00C83FE1" w:rsidRPr="00565F4E" w:rsidRDefault="00C83FE1" w:rsidP="00C83FE1">
      <w:pPr>
        <w:rPr>
          <w:rFonts w:ascii="Calibri" w:hAnsi="Calibri" w:cs="Calibri"/>
        </w:rPr>
      </w:pPr>
      <w:r w:rsidRPr="00565F4E">
        <w:rPr>
          <w:rFonts w:ascii="Calibri" w:hAnsi="Calibri" w:cs="Calibri"/>
        </w:rPr>
        <w:t xml:space="preserve">Kvalitetno i suvremeno obrazovanje (PC 4), Mjera 4.2 Osiguranje odgovarajućih ljudskih i materijalnih kapaciteta za </w:t>
      </w:r>
      <w:proofErr w:type="spellStart"/>
      <w:r w:rsidRPr="00565F4E">
        <w:rPr>
          <w:rFonts w:ascii="Calibri" w:hAnsi="Calibri" w:cs="Calibri"/>
        </w:rPr>
        <w:t>predškole</w:t>
      </w:r>
      <w:proofErr w:type="spellEnd"/>
      <w:r w:rsidRPr="00565F4E">
        <w:rPr>
          <w:rFonts w:ascii="Calibri" w:hAnsi="Calibri" w:cs="Calibri"/>
        </w:rPr>
        <w:t xml:space="preserve"> i školske ustanove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1626"/>
        <w:gridCol w:w="1722"/>
        <w:gridCol w:w="1722"/>
        <w:gridCol w:w="2019"/>
      </w:tblGrid>
      <w:tr w:rsidR="00565F4E" w:rsidRPr="00565F4E" w:rsidTr="00C83FE1">
        <w:trPr>
          <w:trHeight w:val="262"/>
        </w:trPr>
        <w:tc>
          <w:tcPr>
            <w:tcW w:w="1973" w:type="dxa"/>
            <w:shd w:val="clear" w:color="auto" w:fill="auto"/>
          </w:tcPr>
          <w:p w:rsidR="00C83FE1" w:rsidRPr="00565F4E" w:rsidRDefault="00C83FE1" w:rsidP="00FB7721">
            <w:pPr>
              <w:jc w:val="center"/>
              <w:rPr>
                <w:rFonts w:ascii="Calibri" w:hAnsi="Calibri" w:cs="Calibri"/>
              </w:rPr>
            </w:pPr>
            <w:r w:rsidRPr="00565F4E">
              <w:rPr>
                <w:rFonts w:ascii="Calibri" w:hAnsi="Calibri" w:cs="Calibri"/>
              </w:rPr>
              <w:t>Pokazatelj rezultata</w:t>
            </w:r>
          </w:p>
        </w:tc>
        <w:tc>
          <w:tcPr>
            <w:tcW w:w="1626" w:type="dxa"/>
            <w:shd w:val="clear" w:color="auto" w:fill="auto"/>
          </w:tcPr>
          <w:p w:rsidR="00C83FE1" w:rsidRPr="00565F4E" w:rsidRDefault="00C83FE1" w:rsidP="00FB7721">
            <w:pPr>
              <w:jc w:val="center"/>
              <w:rPr>
                <w:rFonts w:ascii="Calibri" w:hAnsi="Calibri" w:cs="Calibri"/>
              </w:rPr>
            </w:pPr>
            <w:r w:rsidRPr="00565F4E">
              <w:rPr>
                <w:rFonts w:ascii="Calibri" w:hAnsi="Calibri" w:cs="Calibri"/>
              </w:rPr>
              <w:t>Jedinica</w:t>
            </w:r>
          </w:p>
        </w:tc>
        <w:tc>
          <w:tcPr>
            <w:tcW w:w="1722" w:type="dxa"/>
            <w:shd w:val="clear" w:color="auto" w:fill="auto"/>
          </w:tcPr>
          <w:p w:rsidR="00C83FE1" w:rsidRPr="00565F4E" w:rsidRDefault="00C83FE1" w:rsidP="00FB7721">
            <w:pPr>
              <w:jc w:val="center"/>
              <w:rPr>
                <w:rFonts w:ascii="Calibri" w:hAnsi="Calibri" w:cs="Calibri"/>
              </w:rPr>
            </w:pPr>
            <w:r w:rsidRPr="00565F4E">
              <w:rPr>
                <w:rFonts w:ascii="Calibri" w:hAnsi="Calibri" w:cs="Calibri"/>
              </w:rPr>
              <w:t>Polazna vrijednost</w:t>
            </w:r>
          </w:p>
        </w:tc>
        <w:tc>
          <w:tcPr>
            <w:tcW w:w="1722" w:type="dxa"/>
            <w:shd w:val="clear" w:color="auto" w:fill="auto"/>
          </w:tcPr>
          <w:p w:rsidR="00C83FE1" w:rsidRPr="00565F4E" w:rsidRDefault="00C83FE1" w:rsidP="00FB7721">
            <w:pPr>
              <w:jc w:val="center"/>
              <w:rPr>
                <w:rFonts w:ascii="Calibri" w:hAnsi="Calibri" w:cs="Calibri"/>
              </w:rPr>
            </w:pPr>
            <w:r w:rsidRPr="00565F4E">
              <w:rPr>
                <w:rFonts w:ascii="Calibri" w:hAnsi="Calibri" w:cs="Calibri"/>
              </w:rPr>
              <w:t>Ciljana vrijednost 2024</w:t>
            </w:r>
          </w:p>
        </w:tc>
        <w:tc>
          <w:tcPr>
            <w:tcW w:w="2019" w:type="dxa"/>
            <w:shd w:val="clear" w:color="auto" w:fill="auto"/>
          </w:tcPr>
          <w:p w:rsidR="00C83FE1" w:rsidRPr="00565F4E" w:rsidRDefault="00C83FE1" w:rsidP="00FB7721">
            <w:pPr>
              <w:jc w:val="center"/>
              <w:rPr>
                <w:rFonts w:ascii="Calibri" w:hAnsi="Calibri" w:cs="Calibri"/>
              </w:rPr>
            </w:pPr>
            <w:r w:rsidRPr="00565F4E">
              <w:rPr>
                <w:rFonts w:ascii="Calibri" w:hAnsi="Calibri" w:cs="Calibri"/>
              </w:rPr>
              <w:t>Ostvarena vrijednost 2024</w:t>
            </w:r>
          </w:p>
        </w:tc>
      </w:tr>
      <w:tr w:rsidR="00C83FE1" w:rsidRPr="00565F4E" w:rsidTr="00C83FE1">
        <w:tc>
          <w:tcPr>
            <w:tcW w:w="1973" w:type="dxa"/>
            <w:shd w:val="clear" w:color="auto" w:fill="auto"/>
            <w:vAlign w:val="center"/>
          </w:tcPr>
          <w:p w:rsidR="00C83FE1" w:rsidRPr="00565F4E" w:rsidRDefault="00C83FE1" w:rsidP="00FB7721">
            <w:pPr>
              <w:rPr>
                <w:rFonts w:ascii="Calibri" w:hAnsi="Calibri" w:cs="Calibri"/>
              </w:rPr>
            </w:pPr>
            <w:r w:rsidRPr="00565F4E">
              <w:rPr>
                <w:rFonts w:ascii="Calibri" w:hAnsi="Calibri" w:cs="Calibri"/>
              </w:rPr>
              <w:t>Broj novoizgrađenih objekata odgojno-obrazovnih ustanova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C83FE1" w:rsidRPr="00565F4E" w:rsidRDefault="00C83FE1" w:rsidP="00FB7721">
            <w:pPr>
              <w:jc w:val="center"/>
              <w:rPr>
                <w:rFonts w:ascii="Calibri" w:hAnsi="Calibri" w:cs="Calibri"/>
              </w:rPr>
            </w:pPr>
            <w:r w:rsidRPr="00565F4E">
              <w:rPr>
                <w:rFonts w:ascii="Calibri" w:hAnsi="Calibri" w:cs="Calibri"/>
              </w:rPr>
              <w:t>Broj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C83FE1" w:rsidRPr="00565F4E" w:rsidRDefault="00C83FE1" w:rsidP="00FB7721">
            <w:pPr>
              <w:jc w:val="center"/>
              <w:rPr>
                <w:rFonts w:ascii="Calibri" w:hAnsi="Calibri" w:cs="Calibri"/>
              </w:rPr>
            </w:pPr>
            <w:r w:rsidRPr="00565F4E">
              <w:rPr>
                <w:rFonts w:ascii="Calibri" w:hAnsi="Calibri" w:cs="Calibri"/>
              </w:rPr>
              <w:t>0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C83FE1" w:rsidRPr="00565F4E" w:rsidRDefault="00C83FE1" w:rsidP="00FB7721">
            <w:pPr>
              <w:jc w:val="center"/>
              <w:rPr>
                <w:rFonts w:ascii="Calibri" w:hAnsi="Calibri" w:cs="Calibri"/>
              </w:rPr>
            </w:pPr>
            <w:r w:rsidRPr="00565F4E">
              <w:rPr>
                <w:rFonts w:ascii="Calibri" w:hAnsi="Calibri" w:cs="Calibri"/>
              </w:rPr>
              <w:t>1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C83FE1" w:rsidRPr="00565F4E" w:rsidRDefault="00C83FE1" w:rsidP="00FB7721">
            <w:pPr>
              <w:jc w:val="center"/>
              <w:rPr>
                <w:rFonts w:ascii="Calibri" w:hAnsi="Calibri" w:cs="Calibri"/>
              </w:rPr>
            </w:pPr>
            <w:r w:rsidRPr="00565F4E">
              <w:rPr>
                <w:rFonts w:ascii="Calibri" w:hAnsi="Calibri" w:cs="Calibri"/>
              </w:rPr>
              <w:t>1</w:t>
            </w:r>
          </w:p>
        </w:tc>
      </w:tr>
    </w:tbl>
    <w:p w:rsidR="00C83FE1" w:rsidRPr="00565F4E" w:rsidRDefault="00C83FE1" w:rsidP="00445529">
      <w:pPr>
        <w:jc w:val="both"/>
        <w:rPr>
          <w:rFonts w:cstheme="minorHAnsi"/>
          <w:sz w:val="24"/>
          <w:szCs w:val="32"/>
        </w:rPr>
      </w:pPr>
    </w:p>
    <w:p w:rsidR="00C83FE1" w:rsidRPr="00565F4E" w:rsidRDefault="00C83FE1" w:rsidP="009816B4">
      <w:pPr>
        <w:jc w:val="both"/>
        <w:rPr>
          <w:rFonts w:cstheme="minorHAnsi"/>
          <w:b/>
          <w:sz w:val="24"/>
          <w:szCs w:val="32"/>
        </w:rPr>
      </w:pPr>
    </w:p>
    <w:p w:rsidR="009816B4" w:rsidRPr="00565F4E" w:rsidRDefault="009816B4" w:rsidP="009816B4">
      <w:pPr>
        <w:jc w:val="both"/>
        <w:rPr>
          <w:rFonts w:cstheme="minorHAnsi"/>
          <w:b/>
          <w:sz w:val="24"/>
          <w:szCs w:val="32"/>
        </w:rPr>
      </w:pPr>
      <w:r w:rsidRPr="00565F4E">
        <w:rPr>
          <w:rFonts w:cstheme="minorHAnsi"/>
          <w:b/>
          <w:sz w:val="24"/>
          <w:szCs w:val="32"/>
        </w:rPr>
        <w:lastRenderedPageBreak/>
        <w:t>A103512 Plaće i materijalna prava – MZOM</w:t>
      </w:r>
    </w:p>
    <w:p w:rsidR="009816B4" w:rsidRPr="00565F4E" w:rsidRDefault="009816B4" w:rsidP="009816B4">
      <w:pPr>
        <w:jc w:val="both"/>
        <w:rPr>
          <w:rFonts w:cstheme="minorHAnsi"/>
          <w:sz w:val="24"/>
          <w:szCs w:val="32"/>
        </w:rPr>
      </w:pPr>
      <w:r w:rsidRPr="00565F4E">
        <w:rPr>
          <w:rFonts w:cstheme="minorHAnsi"/>
          <w:sz w:val="24"/>
          <w:szCs w:val="32"/>
        </w:rPr>
        <w:t xml:space="preserve">Aktivnost plaća i materijalnih prava evidentira rashode za plaće zaposlenika, doprinose na plaću, prijevoz te materijalna prava kao što su jubilarne nagrade, božićnica, </w:t>
      </w:r>
      <w:proofErr w:type="spellStart"/>
      <w:r w:rsidRPr="00565F4E">
        <w:rPr>
          <w:rFonts w:cstheme="minorHAnsi"/>
          <w:sz w:val="24"/>
          <w:szCs w:val="32"/>
        </w:rPr>
        <w:t>uskrsnica</w:t>
      </w:r>
      <w:proofErr w:type="spellEnd"/>
      <w:r w:rsidRPr="00565F4E">
        <w:rPr>
          <w:rFonts w:cstheme="minorHAnsi"/>
          <w:sz w:val="24"/>
          <w:szCs w:val="32"/>
        </w:rPr>
        <w:t xml:space="preserve">, regres za godišnji odmor, pomoći </w:t>
      </w:r>
      <w:r w:rsidR="00E91B33" w:rsidRPr="00565F4E">
        <w:rPr>
          <w:rFonts w:cstheme="minorHAnsi"/>
          <w:sz w:val="24"/>
          <w:szCs w:val="32"/>
        </w:rPr>
        <w:t>z</w:t>
      </w:r>
      <w:r w:rsidRPr="00565F4E">
        <w:rPr>
          <w:rFonts w:cstheme="minorHAnsi"/>
          <w:sz w:val="24"/>
          <w:szCs w:val="32"/>
        </w:rPr>
        <w:t>a bolovanja duža od 90 dana, pomoći uslijed smrti člana uže obitelji</w:t>
      </w:r>
      <w:r w:rsidR="00E91B33" w:rsidRPr="00565F4E">
        <w:rPr>
          <w:rFonts w:cstheme="minorHAnsi"/>
          <w:sz w:val="24"/>
          <w:szCs w:val="32"/>
        </w:rPr>
        <w:t xml:space="preserve"> i slično. Navedeni rashodi uvećani su u odnosu na prethodna razdoblja ponajviše radi rasta plaća u javnom sektoru.</w:t>
      </w:r>
    </w:p>
    <w:p w:rsidR="00E91B33" w:rsidRPr="00565F4E" w:rsidRDefault="00E91B33" w:rsidP="00E91B33">
      <w:pPr>
        <w:jc w:val="both"/>
        <w:rPr>
          <w:rFonts w:cstheme="minorHAnsi"/>
          <w:b/>
          <w:sz w:val="24"/>
          <w:szCs w:val="32"/>
        </w:rPr>
      </w:pPr>
      <w:r w:rsidRPr="00565F4E">
        <w:rPr>
          <w:rFonts w:cstheme="minorHAnsi"/>
          <w:b/>
          <w:sz w:val="24"/>
          <w:szCs w:val="32"/>
        </w:rPr>
        <w:t xml:space="preserve">A103521 Građanski odgoj </w:t>
      </w:r>
    </w:p>
    <w:p w:rsidR="009816B4" w:rsidRPr="00565F4E" w:rsidRDefault="00E91B33" w:rsidP="00445529">
      <w:pPr>
        <w:jc w:val="both"/>
        <w:rPr>
          <w:rFonts w:cstheme="minorHAnsi"/>
          <w:sz w:val="24"/>
          <w:szCs w:val="32"/>
        </w:rPr>
      </w:pPr>
      <w:r w:rsidRPr="00565F4E">
        <w:rPr>
          <w:rFonts w:cstheme="minorHAnsi"/>
          <w:sz w:val="24"/>
          <w:szCs w:val="32"/>
        </w:rPr>
        <w:t>Grad Čakovec, kao osnivač škole, uveo je građanski odgoj u školu već 2023. godine, te se on provodi i čitave 2024. godine, a navedena aktivnost evidentira rashode za plaću učitelja koji provode nastavu iz navedenog polja.</w:t>
      </w:r>
    </w:p>
    <w:p w:rsidR="00CB136A" w:rsidRPr="00565F4E" w:rsidRDefault="00CB136A" w:rsidP="00445529">
      <w:pPr>
        <w:jc w:val="both"/>
        <w:rPr>
          <w:rFonts w:cstheme="minorHAnsi"/>
          <w:b/>
          <w:sz w:val="24"/>
          <w:szCs w:val="32"/>
        </w:rPr>
      </w:pPr>
      <w:r w:rsidRPr="00565F4E">
        <w:rPr>
          <w:rFonts w:cstheme="minorHAnsi"/>
          <w:b/>
          <w:sz w:val="24"/>
          <w:szCs w:val="32"/>
        </w:rPr>
        <w:t>A1</w:t>
      </w:r>
      <w:r w:rsidR="00E91B33" w:rsidRPr="00565F4E">
        <w:rPr>
          <w:rFonts w:cstheme="minorHAnsi"/>
          <w:b/>
          <w:sz w:val="24"/>
          <w:szCs w:val="32"/>
        </w:rPr>
        <w:t>03517 Pomoćnici u nastavi - Grad</w:t>
      </w:r>
    </w:p>
    <w:p w:rsidR="00CB136A" w:rsidRPr="00565F4E" w:rsidRDefault="00BF61DD" w:rsidP="00445529">
      <w:pPr>
        <w:jc w:val="both"/>
        <w:rPr>
          <w:rFonts w:cstheme="minorHAnsi"/>
          <w:sz w:val="24"/>
          <w:szCs w:val="32"/>
        </w:rPr>
      </w:pPr>
      <w:r w:rsidRPr="00565F4E">
        <w:rPr>
          <w:rFonts w:cstheme="minorHAnsi"/>
          <w:sz w:val="24"/>
          <w:szCs w:val="32"/>
        </w:rPr>
        <w:t xml:space="preserve">Navedena aktivnost </w:t>
      </w:r>
      <w:r w:rsidR="00E91B33" w:rsidRPr="00565F4E">
        <w:rPr>
          <w:rFonts w:cstheme="minorHAnsi"/>
          <w:sz w:val="24"/>
          <w:szCs w:val="32"/>
        </w:rPr>
        <w:t>odnosi se na plaće i materijalna prava pomoćnika u nastavi za koje je Grad Čakovec preuzeo financiranje u stopostotnom iznosu, a radi se o 9 od ukupno 17 pomoćnika u 2024. godini. Iz navedenog razloga, ali iz razloga drugačijeg knjigovodstvenog evidentiranja pomoćnika u nastavi u odnosu na prethodne godine, rashodi u 2024. godini znatno s veći.</w:t>
      </w:r>
    </w:p>
    <w:p w:rsidR="007C2D19" w:rsidRPr="00565F4E" w:rsidRDefault="007C2D19" w:rsidP="007C2D19">
      <w:pPr>
        <w:jc w:val="both"/>
        <w:rPr>
          <w:rFonts w:cstheme="minorHAnsi"/>
          <w:b/>
          <w:sz w:val="24"/>
          <w:szCs w:val="32"/>
        </w:rPr>
      </w:pPr>
      <w:r w:rsidRPr="00565F4E">
        <w:rPr>
          <w:rFonts w:cstheme="minorHAnsi"/>
          <w:b/>
          <w:sz w:val="24"/>
          <w:szCs w:val="32"/>
        </w:rPr>
        <w:t>A103519 Pomoćnici u nastavi - EU</w:t>
      </w:r>
    </w:p>
    <w:p w:rsidR="00E91B33" w:rsidRPr="00565F4E" w:rsidRDefault="007C2D19" w:rsidP="00445529">
      <w:pPr>
        <w:jc w:val="both"/>
        <w:rPr>
          <w:rFonts w:cstheme="minorHAnsi"/>
          <w:sz w:val="24"/>
          <w:szCs w:val="32"/>
        </w:rPr>
      </w:pPr>
      <w:r w:rsidRPr="00565F4E">
        <w:rPr>
          <w:rFonts w:cstheme="minorHAnsi"/>
          <w:sz w:val="24"/>
          <w:szCs w:val="32"/>
        </w:rPr>
        <w:t>Navedena aktivnost evidentira rashode za plaće i materijalna prava pomoćnika u nastavi putem projekta ESF u 2024. u iznosu od 85%.</w:t>
      </w:r>
    </w:p>
    <w:p w:rsidR="00CB136A" w:rsidRPr="00565F4E" w:rsidRDefault="00BF61DD" w:rsidP="00445529">
      <w:pPr>
        <w:jc w:val="both"/>
        <w:rPr>
          <w:rFonts w:cstheme="minorHAnsi"/>
          <w:b/>
          <w:sz w:val="24"/>
          <w:szCs w:val="32"/>
        </w:rPr>
      </w:pPr>
      <w:r w:rsidRPr="00565F4E">
        <w:rPr>
          <w:rFonts w:cstheme="minorHAnsi"/>
          <w:b/>
          <w:sz w:val="24"/>
          <w:szCs w:val="32"/>
        </w:rPr>
        <w:t xml:space="preserve">A103502 </w:t>
      </w:r>
      <w:r w:rsidR="007C2D19" w:rsidRPr="00565F4E">
        <w:rPr>
          <w:rFonts w:cstheme="minorHAnsi"/>
          <w:b/>
          <w:sz w:val="24"/>
          <w:szCs w:val="32"/>
        </w:rPr>
        <w:t>E-tehničar</w:t>
      </w:r>
    </w:p>
    <w:p w:rsidR="007C2D19" w:rsidRPr="00565F4E" w:rsidRDefault="007C2D19" w:rsidP="00445529">
      <w:pPr>
        <w:jc w:val="both"/>
        <w:rPr>
          <w:rFonts w:cstheme="minorHAnsi"/>
          <w:sz w:val="24"/>
          <w:szCs w:val="32"/>
        </w:rPr>
      </w:pPr>
      <w:r w:rsidRPr="00565F4E">
        <w:rPr>
          <w:rFonts w:cstheme="minorHAnsi"/>
          <w:sz w:val="24"/>
          <w:szCs w:val="32"/>
        </w:rPr>
        <w:t xml:space="preserve">Grad Čakovec financira stručnjaka iza IT podršku škole čiji je zadatak briga i održavanje opreme </w:t>
      </w:r>
      <w:proofErr w:type="spellStart"/>
      <w:r w:rsidRPr="00565F4E">
        <w:rPr>
          <w:rFonts w:cstheme="minorHAnsi"/>
          <w:sz w:val="24"/>
          <w:szCs w:val="32"/>
        </w:rPr>
        <w:t>Carneta</w:t>
      </w:r>
      <w:proofErr w:type="spellEnd"/>
      <w:r w:rsidRPr="00565F4E">
        <w:rPr>
          <w:rFonts w:cstheme="minorHAnsi"/>
          <w:sz w:val="24"/>
          <w:szCs w:val="32"/>
        </w:rPr>
        <w:t xml:space="preserve"> dobivene putem projekta </w:t>
      </w:r>
      <w:proofErr w:type="spellStart"/>
      <w:r w:rsidRPr="00565F4E">
        <w:rPr>
          <w:rFonts w:cstheme="minorHAnsi"/>
          <w:sz w:val="24"/>
          <w:szCs w:val="32"/>
        </w:rPr>
        <w:t>eŠkole</w:t>
      </w:r>
      <w:proofErr w:type="spellEnd"/>
      <w:r w:rsidRPr="00565F4E">
        <w:rPr>
          <w:rFonts w:cstheme="minorHAnsi"/>
          <w:sz w:val="24"/>
          <w:szCs w:val="32"/>
        </w:rPr>
        <w:t xml:space="preserve"> ranijih godina. </w:t>
      </w:r>
    </w:p>
    <w:p w:rsidR="007C2D19" w:rsidRPr="00565F4E" w:rsidRDefault="007C2D19" w:rsidP="007C2D19">
      <w:pPr>
        <w:jc w:val="both"/>
        <w:rPr>
          <w:rFonts w:cstheme="minorHAnsi"/>
          <w:b/>
          <w:sz w:val="24"/>
          <w:szCs w:val="32"/>
        </w:rPr>
      </w:pPr>
      <w:r w:rsidRPr="00565F4E">
        <w:rPr>
          <w:rFonts w:cstheme="minorHAnsi"/>
          <w:b/>
          <w:sz w:val="24"/>
          <w:szCs w:val="32"/>
        </w:rPr>
        <w:t>A103502 Posebni propisi – program školstva</w:t>
      </w:r>
    </w:p>
    <w:p w:rsidR="007C2D19" w:rsidRPr="00565F4E" w:rsidRDefault="007C2D19" w:rsidP="007C2D19">
      <w:pPr>
        <w:jc w:val="both"/>
        <w:rPr>
          <w:rFonts w:cstheme="minorHAnsi"/>
          <w:sz w:val="24"/>
          <w:szCs w:val="32"/>
        </w:rPr>
      </w:pPr>
      <w:r w:rsidRPr="00565F4E">
        <w:rPr>
          <w:rFonts w:cstheme="minorHAnsi"/>
          <w:sz w:val="24"/>
          <w:szCs w:val="32"/>
        </w:rPr>
        <w:t>Rashodi po posebnim propisima evidentiraju rashode za užinu djelatnika.</w:t>
      </w:r>
    </w:p>
    <w:p w:rsidR="007C2D19" w:rsidRPr="00565F4E" w:rsidRDefault="007C2D19" w:rsidP="007C2D19">
      <w:pPr>
        <w:jc w:val="both"/>
        <w:rPr>
          <w:rFonts w:cstheme="minorHAnsi"/>
          <w:b/>
          <w:sz w:val="24"/>
          <w:szCs w:val="32"/>
        </w:rPr>
      </w:pPr>
      <w:r w:rsidRPr="00565F4E">
        <w:rPr>
          <w:rFonts w:cstheme="minorHAnsi"/>
          <w:b/>
          <w:sz w:val="24"/>
          <w:szCs w:val="32"/>
        </w:rPr>
        <w:t>A103502 Donacije – program školstva</w:t>
      </w:r>
    </w:p>
    <w:p w:rsidR="007C2D19" w:rsidRPr="00565F4E" w:rsidRDefault="001B2C7B" w:rsidP="007C2D19">
      <w:pPr>
        <w:jc w:val="both"/>
        <w:rPr>
          <w:rFonts w:cstheme="minorHAnsi"/>
          <w:sz w:val="24"/>
          <w:szCs w:val="32"/>
        </w:rPr>
      </w:pPr>
      <w:r w:rsidRPr="00565F4E">
        <w:rPr>
          <w:rFonts w:cstheme="minorHAnsi"/>
          <w:sz w:val="24"/>
          <w:szCs w:val="32"/>
        </w:rPr>
        <w:t>Donacije se odnose na rashode za nabavu sportske opreme u iznosu od 500,00e</w:t>
      </w:r>
    </w:p>
    <w:p w:rsidR="00565F4E" w:rsidRDefault="00565F4E" w:rsidP="00C83FE1">
      <w:pPr>
        <w:rPr>
          <w:rFonts w:ascii="Calibri" w:hAnsi="Calibri" w:cs="Calibri"/>
          <w:b/>
          <w:bCs/>
        </w:rPr>
      </w:pPr>
    </w:p>
    <w:p w:rsidR="00565F4E" w:rsidRDefault="00565F4E" w:rsidP="00C83FE1">
      <w:pPr>
        <w:rPr>
          <w:rFonts w:ascii="Calibri" w:hAnsi="Calibri" w:cs="Calibri"/>
          <w:b/>
          <w:bCs/>
        </w:rPr>
      </w:pPr>
    </w:p>
    <w:p w:rsidR="00565F4E" w:rsidRDefault="00565F4E" w:rsidP="00C83FE1">
      <w:pPr>
        <w:rPr>
          <w:rFonts w:ascii="Calibri" w:hAnsi="Calibri" w:cs="Calibri"/>
          <w:b/>
          <w:bCs/>
        </w:rPr>
      </w:pPr>
    </w:p>
    <w:p w:rsidR="00565F4E" w:rsidRDefault="00565F4E" w:rsidP="00C83FE1">
      <w:pPr>
        <w:rPr>
          <w:rFonts w:ascii="Calibri" w:hAnsi="Calibri" w:cs="Calibri"/>
          <w:b/>
          <w:bCs/>
        </w:rPr>
      </w:pPr>
    </w:p>
    <w:p w:rsidR="00565F4E" w:rsidRDefault="00565F4E" w:rsidP="00C83FE1">
      <w:pPr>
        <w:rPr>
          <w:rFonts w:ascii="Calibri" w:hAnsi="Calibri" w:cs="Calibri"/>
          <w:b/>
          <w:bCs/>
        </w:rPr>
      </w:pPr>
    </w:p>
    <w:p w:rsidR="00565F4E" w:rsidRDefault="00565F4E" w:rsidP="00C83FE1">
      <w:pPr>
        <w:rPr>
          <w:rFonts w:ascii="Calibri" w:hAnsi="Calibri" w:cs="Calibri"/>
          <w:b/>
          <w:bCs/>
        </w:rPr>
      </w:pPr>
    </w:p>
    <w:p w:rsidR="00565F4E" w:rsidRDefault="00565F4E" w:rsidP="00C83FE1">
      <w:pPr>
        <w:rPr>
          <w:rFonts w:ascii="Calibri" w:hAnsi="Calibri" w:cs="Calibri"/>
          <w:b/>
          <w:bCs/>
        </w:rPr>
      </w:pPr>
    </w:p>
    <w:p w:rsidR="00565F4E" w:rsidRDefault="00565F4E" w:rsidP="00C83FE1">
      <w:pPr>
        <w:rPr>
          <w:rFonts w:ascii="Calibri" w:hAnsi="Calibri" w:cs="Calibri"/>
          <w:b/>
          <w:bCs/>
        </w:rPr>
      </w:pPr>
    </w:p>
    <w:p w:rsidR="00565F4E" w:rsidRDefault="00565F4E" w:rsidP="00C83FE1">
      <w:pPr>
        <w:rPr>
          <w:rFonts w:ascii="Calibri" w:hAnsi="Calibri" w:cs="Calibri"/>
          <w:b/>
          <w:bCs/>
        </w:rPr>
      </w:pPr>
    </w:p>
    <w:p w:rsidR="00C83FE1" w:rsidRPr="00565F4E" w:rsidRDefault="00C83FE1" w:rsidP="00C83FE1">
      <w:pPr>
        <w:rPr>
          <w:rFonts w:ascii="Calibri" w:hAnsi="Calibri" w:cs="Calibri"/>
          <w:b/>
          <w:bCs/>
        </w:rPr>
      </w:pPr>
      <w:r w:rsidRPr="00565F4E">
        <w:rPr>
          <w:rFonts w:ascii="Calibri" w:hAnsi="Calibri" w:cs="Calibri"/>
          <w:b/>
          <w:bCs/>
        </w:rPr>
        <w:lastRenderedPageBreak/>
        <w:t xml:space="preserve">PROGRAM 1024 </w:t>
      </w:r>
      <w:r w:rsidRPr="00565F4E">
        <w:rPr>
          <w:rFonts w:cstheme="minorHAnsi"/>
          <w:b/>
          <w:sz w:val="24"/>
          <w:szCs w:val="32"/>
        </w:rPr>
        <w:t>Decentralizirane funkcije  - osnovno školstvo</w:t>
      </w:r>
    </w:p>
    <w:p w:rsidR="001B2C7B" w:rsidRPr="00565F4E" w:rsidRDefault="001B2C7B" w:rsidP="001B2C7B">
      <w:pPr>
        <w:jc w:val="both"/>
        <w:rPr>
          <w:rFonts w:cstheme="minorHAnsi"/>
          <w:b/>
          <w:sz w:val="24"/>
          <w:szCs w:val="32"/>
        </w:rPr>
      </w:pPr>
      <w:r w:rsidRPr="00565F4E">
        <w:rPr>
          <w:rFonts w:cstheme="minorHAnsi"/>
          <w:b/>
          <w:sz w:val="24"/>
          <w:szCs w:val="32"/>
        </w:rPr>
        <w:t>A102401 Decentralizirane funkcije</w:t>
      </w:r>
      <w:r w:rsidR="00C83FE1" w:rsidRPr="00565F4E">
        <w:rPr>
          <w:rFonts w:cstheme="minorHAnsi"/>
          <w:b/>
          <w:sz w:val="24"/>
          <w:szCs w:val="32"/>
        </w:rPr>
        <w:t xml:space="preserve">  </w:t>
      </w:r>
    </w:p>
    <w:p w:rsidR="007C7ADC" w:rsidRPr="00565F4E" w:rsidRDefault="007C7ADC" w:rsidP="001B2C7B">
      <w:pPr>
        <w:jc w:val="both"/>
        <w:rPr>
          <w:rFonts w:cstheme="minorHAnsi"/>
          <w:sz w:val="24"/>
          <w:szCs w:val="32"/>
        </w:rPr>
      </w:pPr>
      <w:r w:rsidRPr="00565F4E">
        <w:rPr>
          <w:rFonts w:ascii="Calibri" w:hAnsi="Calibri" w:cs="Calibri"/>
        </w:rPr>
        <w:t xml:space="preserve">Cilj programa -kvalitetno i suvremeno obrazovanje (PC 4), Mjera 4.2 Osiguranje odgovarajućih ljudskih i materijalnih kapaciteta za </w:t>
      </w:r>
      <w:proofErr w:type="spellStart"/>
      <w:r w:rsidRPr="00565F4E">
        <w:rPr>
          <w:rFonts w:ascii="Calibri" w:hAnsi="Calibri" w:cs="Calibri"/>
        </w:rPr>
        <w:t>predškole</w:t>
      </w:r>
      <w:proofErr w:type="spellEnd"/>
      <w:r w:rsidRPr="00565F4E">
        <w:rPr>
          <w:rFonts w:ascii="Calibri" w:hAnsi="Calibri" w:cs="Calibri"/>
        </w:rPr>
        <w:t xml:space="preserve"> i školske ustanove</w:t>
      </w:r>
      <w:r w:rsidRPr="00565F4E">
        <w:rPr>
          <w:rFonts w:cstheme="minorHAnsi"/>
          <w:sz w:val="24"/>
          <w:szCs w:val="32"/>
        </w:rPr>
        <w:t xml:space="preserve"> </w:t>
      </w:r>
    </w:p>
    <w:p w:rsidR="007C4B70" w:rsidRPr="00565F4E" w:rsidRDefault="007C4B70" w:rsidP="001B2C7B">
      <w:pPr>
        <w:jc w:val="both"/>
        <w:rPr>
          <w:rFonts w:cstheme="minorHAnsi"/>
          <w:sz w:val="24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1626"/>
        <w:gridCol w:w="1722"/>
        <w:gridCol w:w="1722"/>
        <w:gridCol w:w="2019"/>
      </w:tblGrid>
      <w:tr w:rsidR="00565F4E" w:rsidRPr="00565F4E" w:rsidTr="00FB7721">
        <w:trPr>
          <w:trHeight w:val="262"/>
        </w:trPr>
        <w:tc>
          <w:tcPr>
            <w:tcW w:w="2370" w:type="dxa"/>
            <w:shd w:val="clear" w:color="auto" w:fill="auto"/>
          </w:tcPr>
          <w:p w:rsidR="007C7ADC" w:rsidRPr="00565F4E" w:rsidRDefault="007C7ADC" w:rsidP="00FB7721">
            <w:pPr>
              <w:rPr>
                <w:rFonts w:ascii="Calibri" w:hAnsi="Calibri" w:cs="Calibri"/>
              </w:rPr>
            </w:pPr>
            <w:r w:rsidRPr="00565F4E">
              <w:rPr>
                <w:rFonts w:ascii="Calibri" w:hAnsi="Calibri" w:cs="Calibri"/>
              </w:rPr>
              <w:t>Pokazatelj rezultata</w:t>
            </w:r>
          </w:p>
        </w:tc>
        <w:tc>
          <w:tcPr>
            <w:tcW w:w="2370" w:type="dxa"/>
            <w:shd w:val="clear" w:color="auto" w:fill="auto"/>
          </w:tcPr>
          <w:p w:rsidR="007C7ADC" w:rsidRPr="00565F4E" w:rsidRDefault="007C7ADC" w:rsidP="00FB7721">
            <w:pPr>
              <w:jc w:val="center"/>
              <w:rPr>
                <w:rFonts w:ascii="Calibri" w:hAnsi="Calibri" w:cs="Calibri"/>
              </w:rPr>
            </w:pPr>
            <w:r w:rsidRPr="00565F4E">
              <w:rPr>
                <w:rFonts w:ascii="Calibri" w:hAnsi="Calibri" w:cs="Calibri"/>
              </w:rPr>
              <w:t>Jedinica</w:t>
            </w:r>
          </w:p>
        </w:tc>
        <w:tc>
          <w:tcPr>
            <w:tcW w:w="2370" w:type="dxa"/>
            <w:shd w:val="clear" w:color="auto" w:fill="auto"/>
          </w:tcPr>
          <w:p w:rsidR="007C7ADC" w:rsidRPr="00565F4E" w:rsidRDefault="007C7ADC" w:rsidP="00FB7721">
            <w:pPr>
              <w:jc w:val="center"/>
              <w:rPr>
                <w:rFonts w:ascii="Calibri" w:hAnsi="Calibri" w:cs="Calibri"/>
              </w:rPr>
            </w:pPr>
            <w:r w:rsidRPr="00565F4E">
              <w:rPr>
                <w:rFonts w:ascii="Calibri" w:hAnsi="Calibri" w:cs="Calibri"/>
              </w:rPr>
              <w:t>Polazna vrijednost</w:t>
            </w:r>
          </w:p>
        </w:tc>
        <w:tc>
          <w:tcPr>
            <w:tcW w:w="2370" w:type="dxa"/>
            <w:shd w:val="clear" w:color="auto" w:fill="auto"/>
          </w:tcPr>
          <w:p w:rsidR="007C7ADC" w:rsidRPr="00565F4E" w:rsidRDefault="007C7ADC" w:rsidP="00FB7721">
            <w:pPr>
              <w:jc w:val="center"/>
              <w:rPr>
                <w:rFonts w:ascii="Calibri" w:hAnsi="Calibri" w:cs="Calibri"/>
              </w:rPr>
            </w:pPr>
            <w:r w:rsidRPr="00565F4E">
              <w:rPr>
                <w:rFonts w:ascii="Calibri" w:hAnsi="Calibri" w:cs="Calibri"/>
              </w:rPr>
              <w:t>Ciljana vrijednost 2024</w:t>
            </w:r>
          </w:p>
        </w:tc>
        <w:tc>
          <w:tcPr>
            <w:tcW w:w="2961" w:type="dxa"/>
            <w:shd w:val="clear" w:color="auto" w:fill="auto"/>
          </w:tcPr>
          <w:p w:rsidR="007C7ADC" w:rsidRPr="00565F4E" w:rsidRDefault="007C7ADC" w:rsidP="00FB7721">
            <w:pPr>
              <w:jc w:val="center"/>
              <w:rPr>
                <w:rFonts w:ascii="Calibri" w:hAnsi="Calibri" w:cs="Calibri"/>
              </w:rPr>
            </w:pPr>
            <w:r w:rsidRPr="00565F4E">
              <w:rPr>
                <w:rFonts w:ascii="Calibri" w:hAnsi="Calibri" w:cs="Calibri"/>
              </w:rPr>
              <w:t>Ostvarena vrijednost 2024</w:t>
            </w:r>
          </w:p>
        </w:tc>
      </w:tr>
      <w:tr w:rsidR="007C7ADC" w:rsidRPr="00565F4E" w:rsidTr="003A028A">
        <w:trPr>
          <w:trHeight w:val="818"/>
        </w:trPr>
        <w:tc>
          <w:tcPr>
            <w:tcW w:w="2370" w:type="dxa"/>
            <w:shd w:val="clear" w:color="auto" w:fill="auto"/>
            <w:vAlign w:val="center"/>
          </w:tcPr>
          <w:p w:rsidR="007C7ADC" w:rsidRPr="00565F4E" w:rsidRDefault="007C7ADC" w:rsidP="00FB7721">
            <w:pPr>
              <w:rPr>
                <w:rFonts w:ascii="Calibri" w:hAnsi="Calibri" w:cs="Calibri"/>
              </w:rPr>
            </w:pPr>
            <w:r w:rsidRPr="00565F4E">
              <w:rPr>
                <w:rFonts w:ascii="Calibri" w:hAnsi="Calibri" w:cs="Calibri"/>
              </w:rPr>
              <w:t>Broj novoizgrađenih objekata odgojno-obrazovnih ustanova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C7ADC" w:rsidRPr="00565F4E" w:rsidRDefault="007C7ADC" w:rsidP="00FB7721">
            <w:pPr>
              <w:jc w:val="center"/>
              <w:rPr>
                <w:rFonts w:ascii="Calibri" w:hAnsi="Calibri" w:cs="Calibri"/>
              </w:rPr>
            </w:pPr>
            <w:r w:rsidRPr="00565F4E">
              <w:rPr>
                <w:rFonts w:ascii="Calibri" w:hAnsi="Calibri" w:cs="Calibri"/>
              </w:rPr>
              <w:t>Broj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C7ADC" w:rsidRPr="00565F4E" w:rsidRDefault="007C7ADC" w:rsidP="00FB7721">
            <w:pPr>
              <w:jc w:val="center"/>
              <w:rPr>
                <w:rFonts w:ascii="Calibri" w:hAnsi="Calibri" w:cs="Calibri"/>
              </w:rPr>
            </w:pPr>
            <w:r w:rsidRPr="00565F4E">
              <w:rPr>
                <w:rFonts w:ascii="Calibri" w:hAnsi="Calibri" w:cs="Calibri"/>
              </w:rPr>
              <w:t>0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C7ADC" w:rsidRPr="00565F4E" w:rsidRDefault="007C7ADC" w:rsidP="00FB7721">
            <w:pPr>
              <w:jc w:val="center"/>
              <w:rPr>
                <w:rFonts w:ascii="Calibri" w:hAnsi="Calibri" w:cs="Calibri"/>
              </w:rPr>
            </w:pPr>
            <w:r w:rsidRPr="00565F4E">
              <w:rPr>
                <w:rFonts w:ascii="Calibri" w:hAnsi="Calibri" w:cs="Calibri"/>
              </w:rPr>
              <w:t>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7C7ADC" w:rsidRPr="00565F4E" w:rsidRDefault="007C7ADC" w:rsidP="00FB7721">
            <w:pPr>
              <w:jc w:val="center"/>
              <w:rPr>
                <w:rFonts w:ascii="Calibri" w:hAnsi="Calibri" w:cs="Calibri"/>
              </w:rPr>
            </w:pPr>
            <w:r w:rsidRPr="00565F4E">
              <w:rPr>
                <w:rFonts w:ascii="Calibri" w:hAnsi="Calibri" w:cs="Calibri"/>
              </w:rPr>
              <w:t>1</w:t>
            </w:r>
          </w:p>
        </w:tc>
      </w:tr>
    </w:tbl>
    <w:p w:rsidR="007C7ADC" w:rsidRPr="00565F4E" w:rsidRDefault="007C7ADC" w:rsidP="007C7ADC">
      <w:pPr>
        <w:rPr>
          <w:rFonts w:ascii="Calibri" w:hAnsi="Calibri" w:cs="Calibri"/>
          <w:b/>
          <w:bCs/>
        </w:rPr>
      </w:pPr>
    </w:p>
    <w:p w:rsidR="007C7ADC" w:rsidRPr="00565F4E" w:rsidRDefault="007C7ADC" w:rsidP="007C7ADC">
      <w:pPr>
        <w:jc w:val="both"/>
        <w:rPr>
          <w:rFonts w:ascii="Calibri" w:eastAsia="Calibri" w:hAnsi="Calibri" w:cs="Calibri"/>
        </w:rPr>
      </w:pPr>
      <w:r w:rsidRPr="00565F4E">
        <w:rPr>
          <w:rFonts w:ascii="Calibri" w:hAnsi="Calibri" w:cs="Calibri"/>
          <w:b/>
          <w:bCs/>
        </w:rPr>
        <w:t>Materijalni i financijski rashodi</w:t>
      </w:r>
      <w:r w:rsidRPr="00565F4E">
        <w:rPr>
          <w:rFonts w:ascii="Calibri" w:hAnsi="Calibri" w:cs="Calibri"/>
        </w:rPr>
        <w:t xml:space="preserve"> –</w:t>
      </w:r>
      <w:r w:rsidRPr="00565F4E">
        <w:t xml:space="preserve"> n</w:t>
      </w:r>
      <w:r w:rsidRPr="00565F4E">
        <w:rPr>
          <w:rFonts w:ascii="Calibri" w:eastAsia="Calibri" w:hAnsi="Calibri" w:cs="Calibri"/>
        </w:rPr>
        <w:t>avedena aktivnost evidentira sve rashode za materijalne troškove škole kao što su energija, materijali za tekuće i investicijsko ulaganje, sitni inventar, usluge tekućeg i investicijskog ulaganja i drugo. Zbog sveopćeg porasta cijena na tržištu povećani su i spomenuti rashodi škole, kao i zbog potrebe za ulaganjem u dotrajale prostorije škole.</w:t>
      </w:r>
    </w:p>
    <w:p w:rsidR="001B2C7B" w:rsidRPr="00565F4E" w:rsidRDefault="001B2C7B" w:rsidP="001B2C7B">
      <w:pPr>
        <w:jc w:val="both"/>
        <w:rPr>
          <w:rFonts w:cstheme="minorHAnsi"/>
          <w:sz w:val="24"/>
          <w:szCs w:val="32"/>
        </w:rPr>
      </w:pPr>
      <w:r w:rsidRPr="00565F4E">
        <w:rPr>
          <w:rFonts w:cstheme="minorHAnsi"/>
          <w:sz w:val="24"/>
          <w:szCs w:val="32"/>
        </w:rPr>
        <w:t xml:space="preserve">Rashodi za decentralizirane funkcije škole odnose se na materijalne i financijske rashode škole. </w:t>
      </w:r>
    </w:p>
    <w:p w:rsidR="001B2C7B" w:rsidRPr="00565F4E" w:rsidRDefault="001B2C7B" w:rsidP="001B2C7B">
      <w:pPr>
        <w:jc w:val="both"/>
        <w:rPr>
          <w:rFonts w:cstheme="minorHAnsi"/>
          <w:sz w:val="24"/>
          <w:szCs w:val="32"/>
        </w:rPr>
      </w:pPr>
      <w:r w:rsidRPr="00565F4E">
        <w:rPr>
          <w:rFonts w:cstheme="minorHAnsi"/>
          <w:sz w:val="24"/>
          <w:szCs w:val="32"/>
        </w:rPr>
        <w:t xml:space="preserve">Materijalni rashodi škole u 2024. godini najvećim djelom odnose se na rashode za energiju na što otpada čak 21.940,10 eura godišnje.  U 2024. godini značajno povećanje u odnosu na 2023. godinu ostvarili su rashodi na kontu zdravstvenih pregleda ponajviše radi  novog minimalnog iznosa za zdravstveni pregled, propisanog u TKU za zaposlenike u javnom sektoru. </w:t>
      </w:r>
    </w:p>
    <w:p w:rsidR="001B2C7B" w:rsidRPr="00565F4E" w:rsidRDefault="001B2C7B" w:rsidP="001B2C7B">
      <w:pPr>
        <w:jc w:val="both"/>
        <w:rPr>
          <w:rFonts w:cstheme="minorHAnsi"/>
          <w:sz w:val="24"/>
          <w:szCs w:val="32"/>
        </w:rPr>
      </w:pPr>
      <w:r w:rsidRPr="00565F4E">
        <w:rPr>
          <w:rFonts w:cstheme="minorHAnsi"/>
          <w:sz w:val="24"/>
          <w:szCs w:val="32"/>
        </w:rPr>
        <w:t xml:space="preserve">Manju su rashodi konta sitnog inventara u odnosu na prethodno razdoblje ponajviše jer je nabavu informatičke opreme za školu izvršio i financirao Grad Čakovec u 2024. godini kroz kapitalno ulaganje. </w:t>
      </w:r>
    </w:p>
    <w:p w:rsidR="007C4B70" w:rsidRPr="00565F4E" w:rsidRDefault="007C4B70">
      <w:pPr>
        <w:spacing w:line="259" w:lineRule="auto"/>
        <w:rPr>
          <w:rFonts w:cstheme="minorHAnsi"/>
          <w:i/>
          <w:sz w:val="24"/>
          <w:szCs w:val="32"/>
        </w:rPr>
      </w:pPr>
    </w:p>
    <w:p w:rsidR="00565F4E" w:rsidRDefault="00565F4E" w:rsidP="001B2C7B">
      <w:pPr>
        <w:jc w:val="both"/>
        <w:rPr>
          <w:rFonts w:cstheme="minorHAnsi"/>
          <w:i/>
          <w:sz w:val="24"/>
          <w:szCs w:val="32"/>
        </w:rPr>
      </w:pPr>
    </w:p>
    <w:p w:rsidR="00565F4E" w:rsidRDefault="00565F4E" w:rsidP="001B2C7B">
      <w:pPr>
        <w:jc w:val="both"/>
        <w:rPr>
          <w:rFonts w:cstheme="minorHAnsi"/>
          <w:i/>
          <w:sz w:val="24"/>
          <w:szCs w:val="32"/>
        </w:rPr>
      </w:pPr>
    </w:p>
    <w:p w:rsidR="00565F4E" w:rsidRDefault="00565F4E" w:rsidP="001B2C7B">
      <w:pPr>
        <w:jc w:val="both"/>
        <w:rPr>
          <w:rFonts w:cstheme="minorHAnsi"/>
          <w:i/>
          <w:sz w:val="24"/>
          <w:szCs w:val="32"/>
        </w:rPr>
      </w:pPr>
    </w:p>
    <w:p w:rsidR="00565F4E" w:rsidRDefault="00565F4E" w:rsidP="001B2C7B">
      <w:pPr>
        <w:jc w:val="both"/>
        <w:rPr>
          <w:rFonts w:cstheme="minorHAnsi"/>
          <w:i/>
          <w:sz w:val="24"/>
          <w:szCs w:val="32"/>
        </w:rPr>
      </w:pPr>
    </w:p>
    <w:p w:rsidR="00565F4E" w:rsidRDefault="00565F4E" w:rsidP="001B2C7B">
      <w:pPr>
        <w:jc w:val="both"/>
        <w:rPr>
          <w:rFonts w:cstheme="minorHAnsi"/>
          <w:i/>
          <w:sz w:val="24"/>
          <w:szCs w:val="32"/>
        </w:rPr>
      </w:pPr>
    </w:p>
    <w:p w:rsidR="00565F4E" w:rsidRDefault="00565F4E" w:rsidP="001B2C7B">
      <w:pPr>
        <w:jc w:val="both"/>
        <w:rPr>
          <w:rFonts w:cstheme="minorHAnsi"/>
          <w:i/>
          <w:sz w:val="24"/>
          <w:szCs w:val="32"/>
        </w:rPr>
      </w:pPr>
    </w:p>
    <w:p w:rsidR="00565F4E" w:rsidRDefault="00565F4E" w:rsidP="001B2C7B">
      <w:pPr>
        <w:jc w:val="both"/>
        <w:rPr>
          <w:rFonts w:cstheme="minorHAnsi"/>
          <w:i/>
          <w:sz w:val="24"/>
          <w:szCs w:val="32"/>
        </w:rPr>
      </w:pPr>
    </w:p>
    <w:p w:rsidR="00565F4E" w:rsidRDefault="00565F4E" w:rsidP="001B2C7B">
      <w:pPr>
        <w:jc w:val="both"/>
        <w:rPr>
          <w:rFonts w:cstheme="minorHAnsi"/>
          <w:i/>
          <w:sz w:val="24"/>
          <w:szCs w:val="32"/>
        </w:rPr>
      </w:pPr>
    </w:p>
    <w:p w:rsidR="00565F4E" w:rsidRDefault="00565F4E" w:rsidP="001B2C7B">
      <w:pPr>
        <w:jc w:val="both"/>
        <w:rPr>
          <w:rFonts w:cstheme="minorHAnsi"/>
          <w:i/>
          <w:sz w:val="24"/>
          <w:szCs w:val="32"/>
        </w:rPr>
      </w:pPr>
    </w:p>
    <w:p w:rsidR="00842C46" w:rsidRPr="00565F4E" w:rsidRDefault="00842C46" w:rsidP="001B2C7B">
      <w:pPr>
        <w:jc w:val="both"/>
        <w:rPr>
          <w:rFonts w:cstheme="minorHAnsi"/>
          <w:i/>
          <w:sz w:val="24"/>
          <w:szCs w:val="32"/>
        </w:rPr>
      </w:pPr>
      <w:r w:rsidRPr="00565F4E">
        <w:rPr>
          <w:rFonts w:cstheme="minorHAnsi"/>
          <w:i/>
          <w:sz w:val="24"/>
          <w:szCs w:val="32"/>
        </w:rPr>
        <w:lastRenderedPageBreak/>
        <w:t>4.</w:t>
      </w:r>
      <w:r w:rsidR="00C84E75" w:rsidRPr="00565F4E">
        <w:rPr>
          <w:rFonts w:cstheme="minorHAnsi"/>
          <w:i/>
          <w:sz w:val="24"/>
          <w:szCs w:val="32"/>
        </w:rPr>
        <w:t xml:space="preserve"> </w:t>
      </w:r>
      <w:r w:rsidRPr="00565F4E">
        <w:rPr>
          <w:rFonts w:cstheme="minorHAnsi"/>
          <w:i/>
          <w:sz w:val="24"/>
          <w:szCs w:val="32"/>
        </w:rPr>
        <w:t>POSEBNI IZVJEŠTAJI U GODIŠNJEM IZVJEŠTAJU O IZVRŠENJU DINANCIJSKOG PLANA</w:t>
      </w:r>
    </w:p>
    <w:p w:rsidR="007C4B70" w:rsidRPr="00565F4E" w:rsidRDefault="00842C46" w:rsidP="001B2C7B">
      <w:pPr>
        <w:jc w:val="both"/>
        <w:rPr>
          <w:rFonts w:cstheme="minorHAnsi"/>
          <w:sz w:val="24"/>
          <w:szCs w:val="32"/>
        </w:rPr>
      </w:pPr>
      <w:r w:rsidRPr="00565F4E">
        <w:rPr>
          <w:rFonts w:cstheme="minorHAnsi"/>
          <w:sz w:val="24"/>
          <w:szCs w:val="32"/>
        </w:rPr>
        <w:t xml:space="preserve">1. </w:t>
      </w:r>
      <w:r w:rsidR="007C4B70" w:rsidRPr="00565F4E">
        <w:rPr>
          <w:rFonts w:cstheme="minorHAnsi"/>
          <w:sz w:val="24"/>
          <w:szCs w:val="32"/>
        </w:rPr>
        <w:t xml:space="preserve">Izvještaj o zaduživanju na domaćem i stranom tržištu novca i kapitala </w:t>
      </w:r>
    </w:p>
    <w:p w:rsidR="00842C46" w:rsidRPr="00565F4E" w:rsidRDefault="00842C46" w:rsidP="001B2C7B">
      <w:pPr>
        <w:jc w:val="both"/>
        <w:rPr>
          <w:rFonts w:cstheme="minorHAnsi"/>
          <w:sz w:val="24"/>
          <w:szCs w:val="32"/>
        </w:rPr>
      </w:pPr>
      <w:r w:rsidRPr="00565F4E">
        <w:rPr>
          <w:rFonts w:cstheme="minorHAnsi"/>
          <w:sz w:val="24"/>
          <w:szCs w:val="32"/>
        </w:rPr>
        <w:t>Škola nema zaduženja da domaćem i stranom tržištu.</w:t>
      </w:r>
    </w:p>
    <w:p w:rsidR="00842C46" w:rsidRPr="00565F4E" w:rsidRDefault="00842C46" w:rsidP="001B2C7B">
      <w:pPr>
        <w:jc w:val="both"/>
        <w:rPr>
          <w:rFonts w:cstheme="minorHAnsi"/>
          <w:sz w:val="24"/>
          <w:szCs w:val="32"/>
        </w:rPr>
      </w:pPr>
      <w:bookmarkStart w:id="0" w:name="_GoBack"/>
      <w:bookmarkEnd w:id="0"/>
      <w:r w:rsidRPr="00565F4E">
        <w:rPr>
          <w:rFonts w:cstheme="minorHAnsi"/>
          <w:sz w:val="24"/>
          <w:szCs w:val="32"/>
        </w:rPr>
        <w:t>2. Izvještaj o korištenju sredstava iz EU fondova</w:t>
      </w:r>
    </w:p>
    <w:p w:rsidR="00C84E75" w:rsidRPr="00565F4E" w:rsidRDefault="00C84E75" w:rsidP="00C84E7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5F4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421640</wp:posOffset>
            </wp:positionV>
            <wp:extent cx="5247640" cy="2004060"/>
            <wp:effectExtent l="0" t="0" r="0" b="0"/>
            <wp:wrapThrough wrapText="bothSides">
              <wp:wrapPolygon edited="0">
                <wp:start x="0" y="0"/>
                <wp:lineTo x="0" y="21309"/>
                <wp:lineTo x="21483" y="21309"/>
                <wp:lineTo x="21483" y="0"/>
                <wp:lineTo x="0" y="0"/>
              </wp:wrapPolygon>
            </wp:wrapThrough>
            <wp:docPr id="3" name="Slika 3" descr="C:\Users\Admin\Desktop\eu fondo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eu fondovi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4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FE1" w:rsidRPr="00565F4E">
        <w:rPr>
          <w:rFonts w:cstheme="minorHAnsi"/>
          <w:sz w:val="24"/>
          <w:szCs w:val="32"/>
        </w:rPr>
        <w:t xml:space="preserve">U 2024. godini OŠ </w:t>
      </w:r>
      <w:proofErr w:type="spellStart"/>
      <w:r w:rsidR="00C83FE1" w:rsidRPr="00565F4E">
        <w:rPr>
          <w:rFonts w:cstheme="minorHAnsi"/>
          <w:sz w:val="24"/>
          <w:szCs w:val="32"/>
        </w:rPr>
        <w:t>Kuršanec</w:t>
      </w:r>
      <w:proofErr w:type="spellEnd"/>
      <w:r w:rsidR="00C83FE1" w:rsidRPr="00565F4E">
        <w:rPr>
          <w:rFonts w:cstheme="minorHAnsi"/>
          <w:sz w:val="24"/>
          <w:szCs w:val="32"/>
        </w:rPr>
        <w:t xml:space="preserve"> koristila je sredstva iz fondova Europske unije za financiranje pomoćnika u nastavi</w:t>
      </w:r>
      <w:r w:rsidRPr="00565F4E">
        <w:rPr>
          <w:rFonts w:cstheme="minorHAnsi"/>
          <w:sz w:val="24"/>
          <w:szCs w:val="32"/>
        </w:rPr>
        <w:t>.</w:t>
      </w:r>
    </w:p>
    <w:p w:rsidR="007C4B70" w:rsidRPr="00565F4E" w:rsidRDefault="00842C46" w:rsidP="001B2C7B">
      <w:pPr>
        <w:jc w:val="both"/>
        <w:rPr>
          <w:rFonts w:cstheme="minorHAnsi"/>
          <w:sz w:val="24"/>
          <w:szCs w:val="32"/>
        </w:rPr>
      </w:pPr>
      <w:r w:rsidRPr="00565F4E">
        <w:rPr>
          <w:rFonts w:cstheme="minorHAnsi"/>
          <w:sz w:val="24"/>
          <w:szCs w:val="32"/>
        </w:rPr>
        <w:t xml:space="preserve">3. </w:t>
      </w:r>
      <w:r w:rsidR="007C4B70" w:rsidRPr="00565F4E">
        <w:rPr>
          <w:rFonts w:cstheme="minorHAnsi"/>
          <w:sz w:val="24"/>
          <w:szCs w:val="32"/>
        </w:rPr>
        <w:t xml:space="preserve">Izvještaj o danim zajmovima i potraživanjima po danim zajmovima </w:t>
      </w:r>
    </w:p>
    <w:p w:rsidR="00842C46" w:rsidRPr="00565F4E" w:rsidRDefault="00842C46" w:rsidP="001B2C7B">
      <w:pPr>
        <w:jc w:val="both"/>
        <w:rPr>
          <w:rFonts w:cstheme="minorHAnsi"/>
          <w:sz w:val="24"/>
          <w:szCs w:val="32"/>
        </w:rPr>
      </w:pPr>
      <w:r w:rsidRPr="00565F4E">
        <w:rPr>
          <w:rFonts w:cstheme="minorHAnsi"/>
          <w:sz w:val="24"/>
          <w:szCs w:val="32"/>
        </w:rPr>
        <w:t>Škola nema potraživanja za dane zajmove</w:t>
      </w:r>
      <w:r w:rsidR="007C7ADC" w:rsidRPr="00565F4E">
        <w:rPr>
          <w:rFonts w:cstheme="minorHAnsi"/>
          <w:sz w:val="24"/>
          <w:szCs w:val="32"/>
        </w:rPr>
        <w:t>.</w:t>
      </w:r>
    </w:p>
    <w:p w:rsidR="00C84E75" w:rsidRPr="00565F4E" w:rsidRDefault="00842C46" w:rsidP="001B2C7B">
      <w:pPr>
        <w:jc w:val="both"/>
        <w:rPr>
          <w:rFonts w:cstheme="minorHAnsi"/>
          <w:sz w:val="24"/>
          <w:szCs w:val="32"/>
        </w:rPr>
      </w:pPr>
      <w:r w:rsidRPr="00565F4E">
        <w:rPr>
          <w:rFonts w:cstheme="minorHAnsi"/>
          <w:sz w:val="24"/>
          <w:szCs w:val="32"/>
        </w:rPr>
        <w:t>4. Izvještaj o stanju potraživanja i dospjelih obveza te o stanju obveza po osnovi sudskih sporova</w:t>
      </w:r>
      <w:r w:rsidR="00C84E75" w:rsidRPr="00565F4E">
        <w:rPr>
          <w:rFonts w:cstheme="minorHAnsi"/>
          <w:sz w:val="24"/>
          <w:szCs w:val="32"/>
        </w:rPr>
        <w:t xml:space="preserve">. </w:t>
      </w:r>
    </w:p>
    <w:p w:rsidR="00842C46" w:rsidRPr="00565F4E" w:rsidRDefault="00842C46" w:rsidP="001B2C7B">
      <w:pPr>
        <w:jc w:val="both"/>
        <w:rPr>
          <w:rFonts w:cstheme="minorHAnsi"/>
          <w:sz w:val="24"/>
          <w:szCs w:val="32"/>
        </w:rPr>
      </w:pPr>
      <w:r w:rsidRPr="00565F4E">
        <w:rPr>
          <w:rFonts w:cstheme="minorHAnsi"/>
          <w:sz w:val="24"/>
          <w:szCs w:val="32"/>
        </w:rPr>
        <w:t>Iznos potraživanja na dan 31.12.2024. iznosi</w:t>
      </w:r>
      <w:r w:rsidR="007C7ADC" w:rsidRPr="00565F4E">
        <w:rPr>
          <w:rFonts w:cstheme="minorHAnsi"/>
          <w:sz w:val="24"/>
          <w:szCs w:val="32"/>
        </w:rPr>
        <w:t xml:space="preserve"> 0,00. S</w:t>
      </w:r>
      <w:r w:rsidRPr="00565F4E">
        <w:rPr>
          <w:rFonts w:cstheme="minorHAnsi"/>
          <w:sz w:val="24"/>
          <w:szCs w:val="32"/>
        </w:rPr>
        <w:t>tanje dospjelih obaveza na dan 31.12.2024. iznos</w:t>
      </w:r>
      <w:r w:rsidR="007C7ADC" w:rsidRPr="00565F4E">
        <w:rPr>
          <w:rFonts w:cstheme="minorHAnsi"/>
          <w:sz w:val="24"/>
          <w:szCs w:val="32"/>
        </w:rPr>
        <w:t>i 3</w:t>
      </w:r>
      <w:r w:rsidR="007C4B70" w:rsidRPr="00565F4E">
        <w:rPr>
          <w:rFonts w:cstheme="minorHAnsi"/>
          <w:sz w:val="24"/>
          <w:szCs w:val="32"/>
        </w:rPr>
        <w:t>.</w:t>
      </w:r>
      <w:r w:rsidR="007C7ADC" w:rsidRPr="00565F4E">
        <w:rPr>
          <w:rFonts w:cstheme="minorHAnsi"/>
          <w:sz w:val="24"/>
          <w:szCs w:val="32"/>
        </w:rPr>
        <w:t>486,74 eura</w:t>
      </w:r>
      <w:r w:rsidRPr="00565F4E">
        <w:rPr>
          <w:rFonts w:cstheme="minorHAnsi"/>
          <w:sz w:val="24"/>
          <w:szCs w:val="32"/>
        </w:rPr>
        <w:t>,</w:t>
      </w:r>
      <w:r w:rsidR="007C7ADC" w:rsidRPr="00565F4E">
        <w:rPr>
          <w:rFonts w:cstheme="minorHAnsi"/>
          <w:sz w:val="24"/>
          <w:szCs w:val="32"/>
        </w:rPr>
        <w:t xml:space="preserve"> a odnosi se na nepodmirene račune za nabavu udžbenika (računi su podmireni u toku 2025.g.), </w:t>
      </w:r>
      <w:r w:rsidRPr="00565F4E">
        <w:rPr>
          <w:rFonts w:cstheme="minorHAnsi"/>
          <w:sz w:val="24"/>
          <w:szCs w:val="32"/>
        </w:rPr>
        <w:t xml:space="preserve"> a obveza po sudskim sporovima nema. </w:t>
      </w:r>
    </w:p>
    <w:p w:rsidR="001B2C7B" w:rsidRPr="00565F4E" w:rsidRDefault="001B2C7B" w:rsidP="001B2C7B">
      <w:pPr>
        <w:jc w:val="both"/>
        <w:rPr>
          <w:rFonts w:cstheme="minorHAnsi"/>
          <w:sz w:val="24"/>
          <w:szCs w:val="32"/>
        </w:rPr>
      </w:pPr>
    </w:p>
    <w:p w:rsidR="001B2C7B" w:rsidRPr="00565F4E" w:rsidRDefault="001B2C7B" w:rsidP="007C2D19">
      <w:pPr>
        <w:jc w:val="both"/>
        <w:rPr>
          <w:rFonts w:cstheme="minorHAnsi"/>
          <w:sz w:val="24"/>
          <w:szCs w:val="32"/>
        </w:rPr>
      </w:pPr>
    </w:p>
    <w:p w:rsidR="00EE5332" w:rsidRPr="00565F4E" w:rsidRDefault="00EE5332" w:rsidP="00EE5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5F4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6E1AFFF7">
            <wp:simplePos x="0" y="0"/>
            <wp:positionH relativeFrom="column">
              <wp:posOffset>3870601</wp:posOffset>
            </wp:positionH>
            <wp:positionV relativeFrom="paragraph">
              <wp:posOffset>83102</wp:posOffset>
            </wp:positionV>
            <wp:extent cx="1741336" cy="749589"/>
            <wp:effectExtent l="0" t="0" r="0" b="0"/>
            <wp:wrapNone/>
            <wp:docPr id="10" name="Slika 10" descr="C:\Users\Admin\Desktop\potpis dar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potpis darj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6000" contrast="-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336" cy="74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D19" w:rsidRPr="00565F4E" w:rsidRDefault="007C2D19" w:rsidP="00445529">
      <w:pPr>
        <w:jc w:val="both"/>
        <w:rPr>
          <w:rFonts w:cstheme="minorHAnsi"/>
          <w:sz w:val="24"/>
          <w:szCs w:val="32"/>
        </w:rPr>
      </w:pPr>
    </w:p>
    <w:p w:rsidR="007C2D19" w:rsidRPr="00565F4E" w:rsidRDefault="007C2D19" w:rsidP="00445529">
      <w:pPr>
        <w:jc w:val="both"/>
        <w:rPr>
          <w:rFonts w:cstheme="minorHAnsi"/>
          <w:sz w:val="24"/>
          <w:szCs w:val="32"/>
        </w:rPr>
      </w:pPr>
    </w:p>
    <w:p w:rsidR="007C2D19" w:rsidRPr="00565F4E" w:rsidRDefault="007C2D19" w:rsidP="00445529">
      <w:pPr>
        <w:jc w:val="both"/>
        <w:rPr>
          <w:rFonts w:cstheme="minorHAnsi"/>
          <w:sz w:val="24"/>
          <w:szCs w:val="32"/>
        </w:rPr>
      </w:pPr>
    </w:p>
    <w:p w:rsidR="007C2D19" w:rsidRPr="00565F4E" w:rsidRDefault="007C2D19" w:rsidP="00445529">
      <w:pPr>
        <w:jc w:val="both"/>
        <w:rPr>
          <w:rFonts w:cstheme="minorHAnsi"/>
          <w:sz w:val="24"/>
          <w:szCs w:val="32"/>
        </w:rPr>
      </w:pPr>
    </w:p>
    <w:p w:rsidR="004F360B" w:rsidRPr="00565F4E" w:rsidRDefault="004F360B" w:rsidP="004F360B">
      <w:pPr>
        <w:jc w:val="both"/>
        <w:rPr>
          <w:rFonts w:cstheme="minorHAnsi"/>
          <w:sz w:val="24"/>
          <w:szCs w:val="32"/>
        </w:rPr>
      </w:pPr>
    </w:p>
    <w:sectPr w:rsidR="004F360B" w:rsidRPr="00565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1EF" w:rsidRDefault="007B11EF" w:rsidP="004F360B">
      <w:pPr>
        <w:spacing w:after="0" w:line="240" w:lineRule="auto"/>
      </w:pPr>
      <w:r>
        <w:separator/>
      </w:r>
    </w:p>
  </w:endnote>
  <w:endnote w:type="continuationSeparator" w:id="0">
    <w:p w:rsidR="007B11EF" w:rsidRDefault="007B11EF" w:rsidP="004F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1EF" w:rsidRDefault="007B11EF" w:rsidP="004F360B">
      <w:pPr>
        <w:spacing w:after="0" w:line="240" w:lineRule="auto"/>
      </w:pPr>
      <w:r>
        <w:separator/>
      </w:r>
    </w:p>
  </w:footnote>
  <w:footnote w:type="continuationSeparator" w:id="0">
    <w:p w:rsidR="007B11EF" w:rsidRDefault="007B11EF" w:rsidP="004F3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81CE8"/>
    <w:multiLevelType w:val="hybridMultilevel"/>
    <w:tmpl w:val="041CE1F2"/>
    <w:lvl w:ilvl="0" w:tplc="6C906F2A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BE0A62"/>
    <w:multiLevelType w:val="hybridMultilevel"/>
    <w:tmpl w:val="95E02BA2"/>
    <w:lvl w:ilvl="0" w:tplc="15E66F3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0AB1E13"/>
    <w:multiLevelType w:val="hybridMultilevel"/>
    <w:tmpl w:val="1B6EC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A651B"/>
    <w:multiLevelType w:val="hybridMultilevel"/>
    <w:tmpl w:val="B7D6FB48"/>
    <w:lvl w:ilvl="0" w:tplc="43B00A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678DC"/>
    <w:multiLevelType w:val="hybridMultilevel"/>
    <w:tmpl w:val="77D0C2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F3"/>
    <w:rsid w:val="00123117"/>
    <w:rsid w:val="001327B3"/>
    <w:rsid w:val="00190AEF"/>
    <w:rsid w:val="001B2C7B"/>
    <w:rsid w:val="00232DF3"/>
    <w:rsid w:val="002403B3"/>
    <w:rsid w:val="00253DD8"/>
    <w:rsid w:val="003152F2"/>
    <w:rsid w:val="003A028A"/>
    <w:rsid w:val="00445529"/>
    <w:rsid w:val="004B6447"/>
    <w:rsid w:val="004F360B"/>
    <w:rsid w:val="005356E1"/>
    <w:rsid w:val="00565F4E"/>
    <w:rsid w:val="0058474A"/>
    <w:rsid w:val="005B755C"/>
    <w:rsid w:val="007A3EFA"/>
    <w:rsid w:val="007B11EF"/>
    <w:rsid w:val="007C2D19"/>
    <w:rsid w:val="007C4B70"/>
    <w:rsid w:val="007C7ADC"/>
    <w:rsid w:val="00841D0A"/>
    <w:rsid w:val="00842C46"/>
    <w:rsid w:val="00895035"/>
    <w:rsid w:val="008B795F"/>
    <w:rsid w:val="008D380B"/>
    <w:rsid w:val="009816B4"/>
    <w:rsid w:val="00A24066"/>
    <w:rsid w:val="00A45A18"/>
    <w:rsid w:val="00AE6D26"/>
    <w:rsid w:val="00B30E65"/>
    <w:rsid w:val="00B328E2"/>
    <w:rsid w:val="00BA0420"/>
    <w:rsid w:val="00BB7ED6"/>
    <w:rsid w:val="00BD6002"/>
    <w:rsid w:val="00BF61DD"/>
    <w:rsid w:val="00C252AB"/>
    <w:rsid w:val="00C40E50"/>
    <w:rsid w:val="00C42E0C"/>
    <w:rsid w:val="00C824C2"/>
    <w:rsid w:val="00C83FE1"/>
    <w:rsid w:val="00C84E75"/>
    <w:rsid w:val="00CB136A"/>
    <w:rsid w:val="00CD332B"/>
    <w:rsid w:val="00D37E38"/>
    <w:rsid w:val="00E332A0"/>
    <w:rsid w:val="00E91B33"/>
    <w:rsid w:val="00EB589B"/>
    <w:rsid w:val="00EE5332"/>
    <w:rsid w:val="00FE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6B1D"/>
  <w15:chartTrackingRefBased/>
  <w15:docId w15:val="{9D8843B7-786F-46BC-B608-DDA7D8BC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DF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23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232DF3"/>
  </w:style>
  <w:style w:type="character" w:customStyle="1" w:styleId="eop">
    <w:name w:val="eop"/>
    <w:basedOn w:val="Zadanifontodlomka"/>
    <w:rsid w:val="00232DF3"/>
  </w:style>
  <w:style w:type="character" w:styleId="Naglaeno">
    <w:name w:val="Strong"/>
    <w:basedOn w:val="Zadanifontodlomka"/>
    <w:qFormat/>
    <w:rsid w:val="00232DF3"/>
    <w:rPr>
      <w:b/>
      <w:bCs/>
    </w:rPr>
  </w:style>
  <w:style w:type="paragraph" w:styleId="Odlomakpopisa">
    <w:name w:val="List Paragraph"/>
    <w:basedOn w:val="Normal"/>
    <w:uiPriority w:val="34"/>
    <w:qFormat/>
    <w:rsid w:val="0012311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F3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360B"/>
  </w:style>
  <w:style w:type="paragraph" w:styleId="Podnoje">
    <w:name w:val="footer"/>
    <w:basedOn w:val="Normal"/>
    <w:link w:val="PodnojeChar"/>
    <w:uiPriority w:val="99"/>
    <w:unhideWhenUsed/>
    <w:rsid w:val="004F3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360B"/>
  </w:style>
  <w:style w:type="paragraph" w:styleId="StandardWeb">
    <w:name w:val="Normal (Web)"/>
    <w:basedOn w:val="Normal"/>
    <w:uiPriority w:val="99"/>
    <w:semiHidden/>
    <w:unhideWhenUsed/>
    <w:rsid w:val="00253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D6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6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6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Fučec</dc:creator>
  <cp:keywords/>
  <dc:description/>
  <cp:lastModifiedBy>Elena Fučec</cp:lastModifiedBy>
  <cp:revision>15</cp:revision>
  <cp:lastPrinted>2025-02-14T07:29:00Z</cp:lastPrinted>
  <dcterms:created xsi:type="dcterms:W3CDTF">2024-02-20T08:23:00Z</dcterms:created>
  <dcterms:modified xsi:type="dcterms:W3CDTF">2025-03-31T11:40:00Z</dcterms:modified>
</cp:coreProperties>
</file>