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26A3" w14:textId="77777777" w:rsidR="00C115E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NAZIV OBVEZNIKA: OSNOVNA ŠKOLA KURŠANEC</w:t>
      </w:r>
    </w:p>
    <w:p w14:paraId="72E0FA9A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BROJ RKP-A: 23198</w:t>
      </w:r>
    </w:p>
    <w:p w14:paraId="3BFAD969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SJEDIŠTE OBVEZNIKA: KURŠANEC</w:t>
      </w:r>
    </w:p>
    <w:p w14:paraId="2173678A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MATIČNI BROJ: 01457012</w:t>
      </w:r>
    </w:p>
    <w:p w14:paraId="6357DD2A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ADRESA SJEDIŠTA OBVEZNIKA: GLAVNA ULICA 15, KURŠANEC</w:t>
      </w:r>
    </w:p>
    <w:p w14:paraId="3CCC91C3" w14:textId="55791CC8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OIB:</w:t>
      </w:r>
      <w:r w:rsidR="00D92C75">
        <w:rPr>
          <w:b/>
          <w:sz w:val="24"/>
          <w:szCs w:val="24"/>
        </w:rPr>
        <w:t xml:space="preserve"> </w:t>
      </w:r>
      <w:r w:rsidRPr="00D6685C">
        <w:rPr>
          <w:b/>
          <w:sz w:val="24"/>
          <w:szCs w:val="24"/>
        </w:rPr>
        <w:t>60845884456</w:t>
      </w:r>
    </w:p>
    <w:p w14:paraId="0F00C933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RAZINA:</w:t>
      </w:r>
      <w:r>
        <w:rPr>
          <w:b/>
          <w:sz w:val="24"/>
          <w:szCs w:val="24"/>
        </w:rPr>
        <w:t xml:space="preserve"> 31</w:t>
      </w:r>
    </w:p>
    <w:p w14:paraId="2C335776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RAZDJEL:</w:t>
      </w:r>
      <w:r>
        <w:rPr>
          <w:b/>
          <w:sz w:val="24"/>
          <w:szCs w:val="24"/>
        </w:rPr>
        <w:t xml:space="preserve"> - </w:t>
      </w:r>
    </w:p>
    <w:p w14:paraId="48AF0A9B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ŠIFRA DJELATNOSTI:</w:t>
      </w:r>
      <w:r>
        <w:rPr>
          <w:b/>
          <w:sz w:val="24"/>
          <w:szCs w:val="24"/>
        </w:rPr>
        <w:t xml:space="preserve"> 8520</w:t>
      </w:r>
    </w:p>
    <w:p w14:paraId="7E36B3BF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ŠIFRA ŽUPANIJE: 20</w:t>
      </w:r>
    </w:p>
    <w:p w14:paraId="139AA59E" w14:textId="77777777" w:rsid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ŠIFRA GRADA / OPĆINE:</w:t>
      </w:r>
      <w:r>
        <w:rPr>
          <w:b/>
          <w:sz w:val="24"/>
          <w:szCs w:val="24"/>
        </w:rPr>
        <w:t xml:space="preserve"> 60</w:t>
      </w:r>
    </w:p>
    <w:p w14:paraId="2ED0625C" w14:textId="77777777" w:rsidR="00D6685C" w:rsidRDefault="00D6685C" w:rsidP="00D6685C">
      <w:pPr>
        <w:spacing w:after="0"/>
        <w:rPr>
          <w:b/>
          <w:sz w:val="24"/>
          <w:szCs w:val="24"/>
        </w:rPr>
      </w:pPr>
    </w:p>
    <w:p w14:paraId="0B5A3399" w14:textId="36938077" w:rsidR="00D6685C" w:rsidRDefault="00D6685C" w:rsidP="00D6685C">
      <w:pPr>
        <w:spacing w:after="0"/>
        <w:rPr>
          <w:sz w:val="24"/>
          <w:szCs w:val="24"/>
        </w:rPr>
      </w:pPr>
      <w:proofErr w:type="spellStart"/>
      <w:r w:rsidRPr="00D6685C">
        <w:rPr>
          <w:sz w:val="24"/>
          <w:szCs w:val="24"/>
        </w:rPr>
        <w:t>Kuršanec</w:t>
      </w:r>
      <w:proofErr w:type="spellEnd"/>
      <w:r w:rsidRPr="00D6685C">
        <w:rPr>
          <w:sz w:val="24"/>
          <w:szCs w:val="24"/>
        </w:rPr>
        <w:t xml:space="preserve">, </w:t>
      </w:r>
      <w:r w:rsidR="00BD5FE6">
        <w:rPr>
          <w:sz w:val="24"/>
          <w:szCs w:val="24"/>
        </w:rPr>
        <w:t>8.7</w:t>
      </w:r>
      <w:r w:rsidR="00B335AC">
        <w:rPr>
          <w:sz w:val="24"/>
          <w:szCs w:val="24"/>
        </w:rPr>
        <w:t>.2025</w:t>
      </w:r>
      <w:r w:rsidR="000C6C24">
        <w:rPr>
          <w:sz w:val="24"/>
          <w:szCs w:val="24"/>
        </w:rPr>
        <w:t>.</w:t>
      </w:r>
      <w:r w:rsidR="00EC7E2C">
        <w:rPr>
          <w:sz w:val="24"/>
          <w:szCs w:val="24"/>
        </w:rPr>
        <w:t>g</w:t>
      </w:r>
      <w:r w:rsidR="000C6C24">
        <w:rPr>
          <w:sz w:val="24"/>
          <w:szCs w:val="24"/>
        </w:rPr>
        <w:t>.</w:t>
      </w:r>
    </w:p>
    <w:p w14:paraId="1E7A35B2" w14:textId="77777777" w:rsidR="00D6685C" w:rsidRPr="00D6685C" w:rsidRDefault="00D6685C" w:rsidP="00D6685C">
      <w:pPr>
        <w:spacing w:after="0"/>
        <w:rPr>
          <w:sz w:val="24"/>
          <w:szCs w:val="24"/>
        </w:rPr>
      </w:pPr>
    </w:p>
    <w:p w14:paraId="2000DAC5" w14:textId="77777777" w:rsidR="00C35D49" w:rsidRDefault="00D6685C" w:rsidP="00D668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FINANCIJSKE IZVJEŠTAJE</w:t>
      </w:r>
    </w:p>
    <w:p w14:paraId="07915BC1" w14:textId="29E0A17A" w:rsidR="00D6685C" w:rsidRDefault="00D6685C" w:rsidP="00D668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 RAZDOBLJ</w:t>
      </w:r>
      <w:r w:rsidR="00D92C7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OD 1.</w:t>
      </w:r>
      <w:r w:rsidR="00D92C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SIJEČNJA 202</w:t>
      </w:r>
      <w:r w:rsidR="00B335AC">
        <w:rPr>
          <w:b/>
          <w:sz w:val="24"/>
          <w:szCs w:val="24"/>
        </w:rPr>
        <w:t>5</w:t>
      </w:r>
      <w:r w:rsidR="00AE450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DO </w:t>
      </w:r>
      <w:r w:rsidR="00BD5FE6">
        <w:rPr>
          <w:b/>
          <w:sz w:val="24"/>
          <w:szCs w:val="24"/>
        </w:rPr>
        <w:t>30.LIPNJA</w:t>
      </w:r>
      <w:r w:rsidR="00B335AC">
        <w:rPr>
          <w:b/>
          <w:sz w:val="24"/>
          <w:szCs w:val="24"/>
        </w:rPr>
        <w:t xml:space="preserve"> </w:t>
      </w:r>
      <w:r w:rsidR="00363681">
        <w:rPr>
          <w:b/>
          <w:sz w:val="24"/>
          <w:szCs w:val="24"/>
        </w:rPr>
        <w:t xml:space="preserve"> </w:t>
      </w:r>
      <w:r w:rsidR="00AE4509">
        <w:rPr>
          <w:b/>
          <w:sz w:val="24"/>
          <w:szCs w:val="24"/>
        </w:rPr>
        <w:t>202</w:t>
      </w:r>
      <w:r w:rsidR="00B335A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14:paraId="6E79C0CB" w14:textId="77777777" w:rsidR="00D6685C" w:rsidRDefault="00D6685C" w:rsidP="00D6685C">
      <w:pPr>
        <w:spacing w:after="0"/>
        <w:jc w:val="center"/>
        <w:rPr>
          <w:b/>
          <w:sz w:val="24"/>
          <w:szCs w:val="24"/>
        </w:rPr>
      </w:pPr>
    </w:p>
    <w:p w14:paraId="4FE6291A" w14:textId="77777777" w:rsidR="00D6685C" w:rsidRDefault="00D6685C" w:rsidP="00D6685C">
      <w:pPr>
        <w:spacing w:after="0"/>
        <w:jc w:val="center"/>
        <w:rPr>
          <w:b/>
          <w:sz w:val="24"/>
          <w:szCs w:val="24"/>
        </w:rPr>
      </w:pPr>
    </w:p>
    <w:p w14:paraId="4BC39FF0" w14:textId="05FF6B1B" w:rsidR="00D6685C" w:rsidRDefault="00271D5C" w:rsidP="00BE6993">
      <w:pPr>
        <w:spacing w:after="0"/>
        <w:jc w:val="both"/>
        <w:rPr>
          <w:sz w:val="24"/>
          <w:szCs w:val="24"/>
        </w:rPr>
      </w:pPr>
      <w:r w:rsidRPr="00BE6993">
        <w:rPr>
          <w:sz w:val="24"/>
          <w:szCs w:val="24"/>
        </w:rPr>
        <w:t xml:space="preserve">U Osnovnoj školi </w:t>
      </w:r>
      <w:proofErr w:type="spellStart"/>
      <w:r w:rsidRPr="00BE6993">
        <w:rPr>
          <w:sz w:val="24"/>
          <w:szCs w:val="24"/>
        </w:rPr>
        <w:t>Kuršanec</w:t>
      </w:r>
      <w:proofErr w:type="spellEnd"/>
      <w:r w:rsidRPr="00BE6993">
        <w:rPr>
          <w:sz w:val="24"/>
          <w:szCs w:val="24"/>
        </w:rPr>
        <w:t xml:space="preserve"> na dan </w:t>
      </w:r>
      <w:r w:rsidR="00CC4B17">
        <w:rPr>
          <w:sz w:val="24"/>
          <w:szCs w:val="24"/>
        </w:rPr>
        <w:t>30</w:t>
      </w:r>
      <w:r w:rsidR="00363681">
        <w:rPr>
          <w:sz w:val="24"/>
          <w:szCs w:val="24"/>
        </w:rPr>
        <w:t>.</w:t>
      </w:r>
      <w:r w:rsidR="00BD5FE6">
        <w:rPr>
          <w:sz w:val="24"/>
          <w:szCs w:val="24"/>
        </w:rPr>
        <w:t>6</w:t>
      </w:r>
      <w:r w:rsidR="00B335AC">
        <w:rPr>
          <w:sz w:val="24"/>
          <w:szCs w:val="24"/>
        </w:rPr>
        <w:t>.2025</w:t>
      </w:r>
      <w:r w:rsidR="000C6C24">
        <w:rPr>
          <w:sz w:val="24"/>
          <w:szCs w:val="24"/>
        </w:rPr>
        <w:t>.</w:t>
      </w:r>
      <w:r w:rsidR="00A13086">
        <w:rPr>
          <w:sz w:val="24"/>
          <w:szCs w:val="24"/>
        </w:rPr>
        <w:t xml:space="preserve"> godine</w:t>
      </w:r>
      <w:r w:rsidRPr="00BE6993">
        <w:rPr>
          <w:sz w:val="24"/>
          <w:szCs w:val="24"/>
        </w:rPr>
        <w:t xml:space="preserve"> zaposleno je ukupno </w:t>
      </w:r>
      <w:r w:rsidR="00363681">
        <w:rPr>
          <w:sz w:val="24"/>
          <w:szCs w:val="24"/>
        </w:rPr>
        <w:t>9</w:t>
      </w:r>
      <w:r w:rsidR="00BD5FE6">
        <w:rPr>
          <w:sz w:val="24"/>
          <w:szCs w:val="24"/>
        </w:rPr>
        <w:t>4</w:t>
      </w:r>
      <w:r w:rsidRPr="00BE6993">
        <w:rPr>
          <w:sz w:val="24"/>
          <w:szCs w:val="24"/>
        </w:rPr>
        <w:t xml:space="preserve"> djelatnika, dok je broj učenika koji pohađa školu, na dan </w:t>
      </w:r>
      <w:r w:rsidR="00BD5FE6">
        <w:rPr>
          <w:sz w:val="24"/>
          <w:szCs w:val="24"/>
        </w:rPr>
        <w:t>30.6.</w:t>
      </w:r>
      <w:r w:rsidR="00A13086">
        <w:rPr>
          <w:sz w:val="24"/>
          <w:szCs w:val="24"/>
        </w:rPr>
        <w:t>2025</w:t>
      </w:r>
      <w:r w:rsidR="000C6C24">
        <w:rPr>
          <w:sz w:val="24"/>
          <w:szCs w:val="24"/>
        </w:rPr>
        <w:t>.</w:t>
      </w:r>
      <w:r w:rsidR="000C6C24" w:rsidRPr="00BE6993">
        <w:rPr>
          <w:sz w:val="24"/>
          <w:szCs w:val="24"/>
        </w:rPr>
        <w:t xml:space="preserve"> </w:t>
      </w:r>
      <w:r w:rsidRPr="00BE6993">
        <w:rPr>
          <w:sz w:val="24"/>
          <w:szCs w:val="24"/>
        </w:rPr>
        <w:t xml:space="preserve">godine </w:t>
      </w:r>
      <w:r w:rsidR="008408DF" w:rsidRPr="00977EC5">
        <w:rPr>
          <w:sz w:val="24"/>
          <w:szCs w:val="24"/>
        </w:rPr>
        <w:t>4</w:t>
      </w:r>
      <w:r w:rsidR="00977EC5" w:rsidRPr="00977EC5">
        <w:rPr>
          <w:sz w:val="24"/>
          <w:szCs w:val="24"/>
        </w:rPr>
        <w:t>30</w:t>
      </w:r>
      <w:r w:rsidR="000C6C24">
        <w:rPr>
          <w:sz w:val="24"/>
          <w:szCs w:val="24"/>
        </w:rPr>
        <w:t>.</w:t>
      </w:r>
      <w:r w:rsidR="00D92C75">
        <w:rPr>
          <w:sz w:val="24"/>
          <w:szCs w:val="24"/>
        </w:rPr>
        <w:t xml:space="preserve"> </w:t>
      </w:r>
      <w:r w:rsidRPr="00BE6993">
        <w:rPr>
          <w:sz w:val="24"/>
          <w:szCs w:val="24"/>
        </w:rPr>
        <w:t xml:space="preserve">Plaća djelatnika </w:t>
      </w:r>
      <w:r w:rsidR="00D92C75">
        <w:rPr>
          <w:sz w:val="24"/>
          <w:szCs w:val="24"/>
        </w:rPr>
        <w:t>pretežito se financira</w:t>
      </w:r>
      <w:r w:rsidRPr="00BE6993">
        <w:rPr>
          <w:sz w:val="24"/>
          <w:szCs w:val="24"/>
        </w:rPr>
        <w:t xml:space="preserve"> iz državnog proračuna, dok se dio, koji se odnosi na pomoćnike u nastavi, financira </w:t>
      </w:r>
      <w:r w:rsidR="00BE6993">
        <w:rPr>
          <w:sz w:val="24"/>
          <w:szCs w:val="24"/>
        </w:rPr>
        <w:t>d</w:t>
      </w:r>
      <w:r w:rsidR="00234A64">
        <w:rPr>
          <w:sz w:val="24"/>
          <w:szCs w:val="24"/>
        </w:rPr>
        <w:t>i</w:t>
      </w:r>
      <w:r w:rsidRPr="00BE6993">
        <w:rPr>
          <w:sz w:val="24"/>
          <w:szCs w:val="24"/>
        </w:rPr>
        <w:t>jelom iz</w:t>
      </w:r>
      <w:r w:rsidR="00CD42E6">
        <w:rPr>
          <w:sz w:val="24"/>
          <w:szCs w:val="24"/>
        </w:rPr>
        <w:t xml:space="preserve"> državnog</w:t>
      </w:r>
      <w:r w:rsidRPr="00BE6993">
        <w:rPr>
          <w:sz w:val="24"/>
          <w:szCs w:val="24"/>
        </w:rPr>
        <w:t xml:space="preserve"> </w:t>
      </w:r>
      <w:r w:rsidR="00BE6993" w:rsidRPr="00BE6993">
        <w:rPr>
          <w:sz w:val="24"/>
          <w:szCs w:val="24"/>
        </w:rPr>
        <w:t>proračuna,</w:t>
      </w:r>
      <w:r w:rsidR="00D92C75">
        <w:rPr>
          <w:sz w:val="24"/>
          <w:szCs w:val="24"/>
        </w:rPr>
        <w:t xml:space="preserve"> d</w:t>
      </w:r>
      <w:r w:rsidR="00234A64">
        <w:rPr>
          <w:sz w:val="24"/>
          <w:szCs w:val="24"/>
        </w:rPr>
        <w:t>i</w:t>
      </w:r>
      <w:r w:rsidR="00D92C75">
        <w:rPr>
          <w:sz w:val="24"/>
          <w:szCs w:val="24"/>
        </w:rPr>
        <w:t>jelom</w:t>
      </w:r>
      <w:r w:rsidR="00BE6993" w:rsidRPr="00BE6993">
        <w:rPr>
          <w:sz w:val="24"/>
          <w:szCs w:val="24"/>
        </w:rPr>
        <w:t xml:space="preserve"> temeljem prijenosa sredstava EU i </w:t>
      </w:r>
      <w:r w:rsidR="00D92C75">
        <w:rPr>
          <w:sz w:val="24"/>
          <w:szCs w:val="24"/>
        </w:rPr>
        <w:t>d</w:t>
      </w:r>
      <w:r w:rsidR="00234A64">
        <w:rPr>
          <w:sz w:val="24"/>
          <w:szCs w:val="24"/>
        </w:rPr>
        <w:t>i</w:t>
      </w:r>
      <w:r w:rsidR="00D92C75">
        <w:rPr>
          <w:sz w:val="24"/>
          <w:szCs w:val="24"/>
        </w:rPr>
        <w:t xml:space="preserve">jelom iz </w:t>
      </w:r>
      <w:r w:rsidR="00BE6993" w:rsidRPr="00BE6993">
        <w:rPr>
          <w:sz w:val="24"/>
          <w:szCs w:val="24"/>
        </w:rPr>
        <w:t>proračuna Grada Čakovca.</w:t>
      </w:r>
      <w:r w:rsidR="00BE6993">
        <w:rPr>
          <w:sz w:val="24"/>
          <w:szCs w:val="24"/>
        </w:rPr>
        <w:t xml:space="preserve"> </w:t>
      </w:r>
      <w:r w:rsidR="00A13086">
        <w:rPr>
          <w:sz w:val="24"/>
          <w:szCs w:val="24"/>
        </w:rPr>
        <w:t xml:space="preserve"> Materijalne troškove škole u najvećoj mjeri financira osnivač, Grad Čakovec.</w:t>
      </w:r>
    </w:p>
    <w:p w14:paraId="2ADB9DB2" w14:textId="77777777" w:rsidR="0042515C" w:rsidRDefault="0042515C" w:rsidP="00BE6993">
      <w:pPr>
        <w:spacing w:after="0"/>
        <w:jc w:val="both"/>
        <w:rPr>
          <w:sz w:val="24"/>
          <w:szCs w:val="24"/>
        </w:rPr>
      </w:pPr>
    </w:p>
    <w:p w14:paraId="463D7188" w14:textId="77777777" w:rsidR="0042515C" w:rsidRDefault="0042515C" w:rsidP="00BE6993">
      <w:pPr>
        <w:spacing w:after="0"/>
        <w:jc w:val="both"/>
        <w:rPr>
          <w:sz w:val="24"/>
          <w:szCs w:val="24"/>
          <w:u w:val="single"/>
        </w:rPr>
      </w:pPr>
      <w:r w:rsidRPr="0042515C">
        <w:rPr>
          <w:sz w:val="24"/>
          <w:szCs w:val="24"/>
          <w:u w:val="single"/>
        </w:rPr>
        <w:t>OBRAZAC PR-RAS</w:t>
      </w:r>
    </w:p>
    <w:p w14:paraId="3E394D44" w14:textId="77777777" w:rsidR="0042515C" w:rsidRDefault="0042515C" w:rsidP="00BE6993">
      <w:pPr>
        <w:spacing w:after="0"/>
        <w:jc w:val="both"/>
        <w:rPr>
          <w:sz w:val="24"/>
          <w:szCs w:val="24"/>
          <w:u w:val="single"/>
        </w:rPr>
      </w:pPr>
    </w:p>
    <w:p w14:paraId="375601E5" w14:textId="23F12D0F" w:rsidR="0042515C" w:rsidRDefault="0042515C" w:rsidP="00BE6993">
      <w:pPr>
        <w:spacing w:after="0"/>
        <w:jc w:val="both"/>
        <w:rPr>
          <w:sz w:val="24"/>
          <w:szCs w:val="24"/>
        </w:rPr>
      </w:pPr>
      <w:r w:rsidRPr="0042515C">
        <w:rPr>
          <w:sz w:val="24"/>
          <w:szCs w:val="24"/>
        </w:rPr>
        <w:t>Izvještaj o prihodima i rashodima, primicima i izdacima</w:t>
      </w:r>
      <w:r w:rsidR="00A13086">
        <w:rPr>
          <w:sz w:val="24"/>
          <w:szCs w:val="24"/>
        </w:rPr>
        <w:t>,</w:t>
      </w:r>
      <w:r w:rsidRPr="0042515C">
        <w:rPr>
          <w:sz w:val="24"/>
          <w:szCs w:val="24"/>
        </w:rPr>
        <w:t xml:space="preserve"> prikazuje ukupne prihode škole </w:t>
      </w:r>
      <w:r w:rsidR="00AE4509">
        <w:rPr>
          <w:sz w:val="24"/>
          <w:szCs w:val="24"/>
        </w:rPr>
        <w:t xml:space="preserve">do </w:t>
      </w:r>
      <w:r w:rsidR="00BD5FE6">
        <w:rPr>
          <w:sz w:val="24"/>
          <w:szCs w:val="24"/>
        </w:rPr>
        <w:t>30.6.</w:t>
      </w:r>
      <w:r w:rsidR="00B335AC">
        <w:rPr>
          <w:sz w:val="24"/>
          <w:szCs w:val="24"/>
        </w:rPr>
        <w:t>2025</w:t>
      </w:r>
      <w:r w:rsidR="00EC7E2C">
        <w:rPr>
          <w:sz w:val="24"/>
          <w:szCs w:val="24"/>
        </w:rPr>
        <w:t>.</w:t>
      </w:r>
      <w:r w:rsidRPr="0042515C">
        <w:rPr>
          <w:sz w:val="24"/>
          <w:szCs w:val="24"/>
        </w:rPr>
        <w:t xml:space="preserve"> godin</w:t>
      </w:r>
      <w:r w:rsidR="00AE4509">
        <w:rPr>
          <w:sz w:val="24"/>
          <w:szCs w:val="24"/>
        </w:rPr>
        <w:t>e</w:t>
      </w:r>
      <w:r w:rsidRPr="004251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koji su </w:t>
      </w:r>
      <w:r w:rsidR="008408DF">
        <w:rPr>
          <w:sz w:val="24"/>
          <w:szCs w:val="24"/>
        </w:rPr>
        <w:t xml:space="preserve">značajno </w:t>
      </w:r>
      <w:r>
        <w:rPr>
          <w:sz w:val="24"/>
          <w:szCs w:val="24"/>
        </w:rPr>
        <w:t xml:space="preserve">uvećani u odnosu na </w:t>
      </w:r>
      <w:r w:rsidR="00AE4509">
        <w:rPr>
          <w:sz w:val="24"/>
          <w:szCs w:val="24"/>
        </w:rPr>
        <w:t>promatrano razdoblje 202</w:t>
      </w:r>
      <w:r w:rsidR="00B335AC">
        <w:rPr>
          <w:sz w:val="24"/>
          <w:szCs w:val="24"/>
        </w:rPr>
        <w:t>4</w:t>
      </w:r>
      <w:r w:rsidR="00AE4509">
        <w:rPr>
          <w:sz w:val="24"/>
          <w:szCs w:val="24"/>
        </w:rPr>
        <w:t>.</w:t>
      </w:r>
      <w:r>
        <w:rPr>
          <w:sz w:val="24"/>
          <w:szCs w:val="24"/>
        </w:rPr>
        <w:t xml:space="preserve"> godin</w:t>
      </w:r>
      <w:r w:rsidR="00AE4509">
        <w:rPr>
          <w:sz w:val="24"/>
          <w:szCs w:val="24"/>
        </w:rPr>
        <w:t>e</w:t>
      </w:r>
      <w:r w:rsidR="00D92C75">
        <w:rPr>
          <w:sz w:val="24"/>
          <w:szCs w:val="24"/>
        </w:rPr>
        <w:t>, kao i ukupne rashode škole, također uvećane u odnosu na prethodno razdoblje.</w:t>
      </w:r>
    </w:p>
    <w:p w14:paraId="00B6EB34" w14:textId="1E23CE4F" w:rsidR="000506FA" w:rsidRDefault="000506FA" w:rsidP="00BE6993">
      <w:pPr>
        <w:spacing w:after="0"/>
        <w:jc w:val="both"/>
        <w:rPr>
          <w:sz w:val="24"/>
          <w:szCs w:val="24"/>
        </w:rPr>
      </w:pPr>
    </w:p>
    <w:p w14:paraId="2D0F0DAF" w14:textId="77DB11F8" w:rsidR="008408DF" w:rsidRDefault="00B335AC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Uvećani su prihodi na kontu pomoći (636)</w:t>
      </w:r>
      <w:r w:rsidR="00A13086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najvećoj mjeri je za to zaslužan rast koeficijenata u sustavu obračuna plaća u javnom sektoru, s obzirom da </w:t>
      </w:r>
      <w:r w:rsidR="00A13086">
        <w:rPr>
          <w:sz w:val="24"/>
          <w:szCs w:val="24"/>
        </w:rPr>
        <w:t xml:space="preserve">su u </w:t>
      </w:r>
      <w:r>
        <w:rPr>
          <w:sz w:val="24"/>
          <w:szCs w:val="24"/>
        </w:rPr>
        <w:t xml:space="preserve"> promatranom razdoblju 2024. godine</w:t>
      </w:r>
      <w:r w:rsidR="00CC4B17">
        <w:rPr>
          <w:sz w:val="24"/>
          <w:szCs w:val="24"/>
        </w:rPr>
        <w:t xml:space="preserve">, odnosno u prvom kvartalu, </w:t>
      </w:r>
      <w:r>
        <w:rPr>
          <w:sz w:val="24"/>
          <w:szCs w:val="24"/>
        </w:rPr>
        <w:t>koeficijenti još uvijek bili na nižim razinama negoli je to u 2025. godini.</w:t>
      </w:r>
      <w:r w:rsidR="008408DF">
        <w:rPr>
          <w:sz w:val="24"/>
          <w:szCs w:val="24"/>
        </w:rPr>
        <w:t xml:space="preserve"> </w:t>
      </w:r>
      <w:r w:rsidR="00AE4509">
        <w:rPr>
          <w:sz w:val="24"/>
          <w:szCs w:val="24"/>
        </w:rPr>
        <w:t xml:space="preserve"> </w:t>
      </w:r>
      <w:r w:rsidR="00CC4B17">
        <w:rPr>
          <w:sz w:val="24"/>
          <w:szCs w:val="24"/>
        </w:rPr>
        <w:t xml:space="preserve">Također za rast navedenih prihoda utjecao  je i rast osnovice za obračun plaće, ali i dodatna zapošljavanja u OŠ </w:t>
      </w:r>
      <w:proofErr w:type="spellStart"/>
      <w:r w:rsidR="00CC4B17">
        <w:rPr>
          <w:sz w:val="24"/>
          <w:szCs w:val="24"/>
        </w:rPr>
        <w:t>Kuršanec</w:t>
      </w:r>
      <w:proofErr w:type="spellEnd"/>
      <w:r w:rsidR="00CC4B17">
        <w:rPr>
          <w:sz w:val="24"/>
          <w:szCs w:val="24"/>
        </w:rPr>
        <w:t xml:space="preserve">. </w:t>
      </w:r>
    </w:p>
    <w:p w14:paraId="0DE9A9F7" w14:textId="77777777" w:rsidR="00B335AC" w:rsidRDefault="00B335AC" w:rsidP="00BE6993">
      <w:pPr>
        <w:spacing w:after="0"/>
        <w:jc w:val="both"/>
        <w:rPr>
          <w:sz w:val="24"/>
          <w:szCs w:val="24"/>
        </w:rPr>
      </w:pPr>
    </w:p>
    <w:p w14:paraId="2C723E2B" w14:textId="129909C5" w:rsidR="00AE4509" w:rsidRDefault="00B335AC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2025 godini, a s početkom školske godine 2024./2025. OŠ </w:t>
      </w:r>
      <w:proofErr w:type="spellStart"/>
      <w:r>
        <w:rPr>
          <w:sz w:val="24"/>
          <w:szCs w:val="24"/>
        </w:rPr>
        <w:t>Kuršanec</w:t>
      </w:r>
      <w:proofErr w:type="spellEnd"/>
      <w:r>
        <w:rPr>
          <w:sz w:val="24"/>
          <w:szCs w:val="24"/>
        </w:rPr>
        <w:t xml:space="preserve"> zapošljava i veći broj pomoćnika u nastavi u odnosu na prethodne godine, njih čak 18, koji se financiraju iz proračuna Grada Čakovca i putem prijenosa sredstava EU</w:t>
      </w:r>
      <w:r w:rsidR="000506FA">
        <w:rPr>
          <w:sz w:val="24"/>
          <w:szCs w:val="24"/>
        </w:rPr>
        <w:t xml:space="preserve">. </w:t>
      </w:r>
      <w:r w:rsidR="005F52A4">
        <w:rPr>
          <w:sz w:val="24"/>
          <w:szCs w:val="24"/>
        </w:rPr>
        <w:t>Prihodi pomoćnika ranijih su godina evidentirani na CTO 638, dok su od kraja 2024. godine evidentirani na CTO 639.</w:t>
      </w:r>
    </w:p>
    <w:p w14:paraId="10D9A957" w14:textId="11AE7238" w:rsidR="004A33EF" w:rsidRDefault="004A33EF" w:rsidP="00BE6993">
      <w:pPr>
        <w:spacing w:after="0"/>
        <w:jc w:val="both"/>
        <w:rPr>
          <w:sz w:val="24"/>
          <w:szCs w:val="24"/>
        </w:rPr>
      </w:pPr>
    </w:p>
    <w:p w14:paraId="6C607920" w14:textId="4C13B5F6" w:rsidR="00CC2CA7" w:rsidRDefault="00CC2CA7" w:rsidP="00BE6993">
      <w:pPr>
        <w:spacing w:after="0"/>
        <w:jc w:val="both"/>
        <w:rPr>
          <w:sz w:val="24"/>
          <w:szCs w:val="24"/>
        </w:rPr>
      </w:pPr>
    </w:p>
    <w:p w14:paraId="2B388997" w14:textId="33033CEC" w:rsidR="00CC2CA7" w:rsidRDefault="00CC2CA7" w:rsidP="00BE6993">
      <w:pPr>
        <w:spacing w:after="0"/>
        <w:jc w:val="both"/>
        <w:rPr>
          <w:sz w:val="24"/>
          <w:szCs w:val="24"/>
        </w:rPr>
      </w:pPr>
    </w:p>
    <w:p w14:paraId="1E450620" w14:textId="5908ABAD" w:rsidR="00CC2CA7" w:rsidRDefault="00CC2CA7" w:rsidP="00BE6993">
      <w:pPr>
        <w:spacing w:after="0"/>
        <w:jc w:val="both"/>
        <w:rPr>
          <w:sz w:val="24"/>
          <w:szCs w:val="24"/>
        </w:rPr>
      </w:pPr>
    </w:p>
    <w:p w14:paraId="3CAEF293" w14:textId="77777777" w:rsidR="00CC2CA7" w:rsidRDefault="00CC2CA7" w:rsidP="00BE6993">
      <w:pPr>
        <w:spacing w:after="0"/>
        <w:jc w:val="both"/>
        <w:rPr>
          <w:sz w:val="24"/>
          <w:szCs w:val="24"/>
        </w:rPr>
      </w:pPr>
    </w:p>
    <w:p w14:paraId="14CBFDD8" w14:textId="70D6062E" w:rsidR="004A33EF" w:rsidRDefault="004A33EF" w:rsidP="00BE6993">
      <w:pPr>
        <w:spacing w:after="0"/>
        <w:jc w:val="both"/>
        <w:rPr>
          <w:sz w:val="24"/>
          <w:szCs w:val="24"/>
        </w:rPr>
      </w:pPr>
    </w:p>
    <w:tbl>
      <w:tblPr>
        <w:tblStyle w:val="Tablicareetke3-isticanje6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4A33EF" w14:paraId="662BF2C0" w14:textId="77777777" w:rsidTr="00157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</w:tcPr>
          <w:p w14:paraId="79EB4A7A" w14:textId="77777777" w:rsidR="004A33EF" w:rsidRPr="00424FA6" w:rsidRDefault="004A33EF" w:rsidP="0015793F">
            <w:pPr>
              <w:jc w:val="center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CTO</w:t>
            </w:r>
          </w:p>
        </w:tc>
        <w:tc>
          <w:tcPr>
            <w:tcW w:w="3260" w:type="dxa"/>
          </w:tcPr>
          <w:p w14:paraId="529530BE" w14:textId="02B7C269" w:rsidR="004A33EF" w:rsidRPr="00424FA6" w:rsidRDefault="004A33EF" w:rsidP="0015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202</w:t>
            </w:r>
            <w:r w:rsidR="00BD5FE6">
              <w:rPr>
                <w:color w:val="385623" w:themeColor="accent6" w:themeShade="80"/>
              </w:rPr>
              <w:t>4</w:t>
            </w:r>
          </w:p>
        </w:tc>
        <w:tc>
          <w:tcPr>
            <w:tcW w:w="3680" w:type="dxa"/>
          </w:tcPr>
          <w:p w14:paraId="407BBDC5" w14:textId="35ED5C06" w:rsidR="004A33EF" w:rsidRPr="00424FA6" w:rsidRDefault="004A33EF" w:rsidP="0015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202</w:t>
            </w:r>
            <w:r w:rsidR="00BD5FE6">
              <w:rPr>
                <w:color w:val="385623" w:themeColor="accent6" w:themeShade="80"/>
              </w:rPr>
              <w:t>5</w:t>
            </w:r>
          </w:p>
        </w:tc>
      </w:tr>
      <w:tr w:rsidR="004A33EF" w14:paraId="4715E1F7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0C94D4" w14:textId="77777777" w:rsidR="004A33EF" w:rsidRDefault="004A33EF" w:rsidP="0015793F">
            <w:r>
              <w:t>633</w:t>
            </w:r>
          </w:p>
        </w:tc>
        <w:tc>
          <w:tcPr>
            <w:tcW w:w="3260" w:type="dxa"/>
          </w:tcPr>
          <w:p w14:paraId="60B66420" w14:textId="47BADC61" w:rsidR="004A33EF" w:rsidRDefault="00BD5FE6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3.008,85</w:t>
            </w:r>
          </w:p>
        </w:tc>
        <w:tc>
          <w:tcPr>
            <w:tcW w:w="3680" w:type="dxa"/>
          </w:tcPr>
          <w:p w14:paraId="502C1B08" w14:textId="77777777" w:rsidR="004A33EF" w:rsidRDefault="004A33EF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</w:tr>
      <w:tr w:rsidR="004A33EF" w14:paraId="5A1C6242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8A9553" w14:textId="77777777" w:rsidR="004A33EF" w:rsidRDefault="004A33EF" w:rsidP="0015793F">
            <w:r>
              <w:t>636</w:t>
            </w:r>
          </w:p>
        </w:tc>
        <w:tc>
          <w:tcPr>
            <w:tcW w:w="3260" w:type="dxa"/>
          </w:tcPr>
          <w:p w14:paraId="388F6DC4" w14:textId="0F2598C6" w:rsidR="004A33EF" w:rsidRDefault="00BD5FE6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1.137.703,41</w:t>
            </w:r>
          </w:p>
        </w:tc>
        <w:tc>
          <w:tcPr>
            <w:tcW w:w="3680" w:type="dxa"/>
          </w:tcPr>
          <w:p w14:paraId="7172BF28" w14:textId="01024409" w:rsidR="004A33EF" w:rsidRDefault="00BD5FE6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1.299.283,04</w:t>
            </w:r>
          </w:p>
        </w:tc>
      </w:tr>
      <w:tr w:rsidR="004A33EF" w14:paraId="0751412D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F25A37" w14:textId="77777777" w:rsidR="004A33EF" w:rsidRDefault="004A33EF" w:rsidP="0015793F">
            <w:r>
              <w:t>638</w:t>
            </w:r>
          </w:p>
        </w:tc>
        <w:tc>
          <w:tcPr>
            <w:tcW w:w="3260" w:type="dxa"/>
          </w:tcPr>
          <w:p w14:paraId="257BBA76" w14:textId="1853412F" w:rsidR="004A33EF" w:rsidRDefault="00BD5FE6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17.050,01</w:t>
            </w:r>
          </w:p>
        </w:tc>
        <w:tc>
          <w:tcPr>
            <w:tcW w:w="3680" w:type="dxa"/>
          </w:tcPr>
          <w:p w14:paraId="16AD097A" w14:textId="667F74BA" w:rsidR="004A33EF" w:rsidRDefault="00BD5FE6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</w:tr>
      <w:tr w:rsidR="004A33EF" w14:paraId="0B607E18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3E0322" w14:textId="77777777" w:rsidR="004A33EF" w:rsidRDefault="004A33EF" w:rsidP="0015793F">
            <w:r>
              <w:t>639</w:t>
            </w:r>
          </w:p>
        </w:tc>
        <w:tc>
          <w:tcPr>
            <w:tcW w:w="3260" w:type="dxa"/>
          </w:tcPr>
          <w:p w14:paraId="0D0B1A81" w14:textId="3D8B41CB" w:rsidR="004A33EF" w:rsidRDefault="00BD5FE6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380,00</w:t>
            </w:r>
          </w:p>
        </w:tc>
        <w:tc>
          <w:tcPr>
            <w:tcW w:w="3680" w:type="dxa"/>
          </w:tcPr>
          <w:p w14:paraId="7E047098" w14:textId="3EF693FC" w:rsidR="004A33EF" w:rsidRDefault="00BD5FE6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57.781,11</w:t>
            </w:r>
          </w:p>
        </w:tc>
      </w:tr>
      <w:tr w:rsidR="004A33EF" w14:paraId="4B8D21B6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FD21066" w14:textId="77777777" w:rsidR="004A33EF" w:rsidRDefault="004A33EF" w:rsidP="0015793F">
            <w:r>
              <w:t>641</w:t>
            </w:r>
          </w:p>
        </w:tc>
        <w:tc>
          <w:tcPr>
            <w:tcW w:w="3260" w:type="dxa"/>
          </w:tcPr>
          <w:p w14:paraId="08CBDCF2" w14:textId="75BDAA8F" w:rsidR="004A33EF" w:rsidRDefault="00BD5FE6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22,29</w:t>
            </w:r>
          </w:p>
        </w:tc>
        <w:tc>
          <w:tcPr>
            <w:tcW w:w="3680" w:type="dxa"/>
          </w:tcPr>
          <w:p w14:paraId="0FE7D2C2" w14:textId="6570D810" w:rsidR="004A33EF" w:rsidRDefault="003E3B1D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7,32</w:t>
            </w:r>
          </w:p>
        </w:tc>
      </w:tr>
      <w:tr w:rsidR="004A33EF" w14:paraId="0B50F1B9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5316AB" w14:textId="77A9E0C8" w:rsidR="004A33EF" w:rsidRDefault="004A33EF" w:rsidP="0015793F">
            <w:r>
              <w:t>65</w:t>
            </w:r>
            <w:r w:rsidR="005F52A4">
              <w:t>2</w:t>
            </w:r>
          </w:p>
        </w:tc>
        <w:tc>
          <w:tcPr>
            <w:tcW w:w="3260" w:type="dxa"/>
          </w:tcPr>
          <w:p w14:paraId="0E993F8B" w14:textId="54B00BA0" w:rsidR="004A33EF" w:rsidRDefault="003E3B1D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4.018,00</w:t>
            </w:r>
          </w:p>
        </w:tc>
        <w:tc>
          <w:tcPr>
            <w:tcW w:w="3680" w:type="dxa"/>
          </w:tcPr>
          <w:p w14:paraId="28276B6D" w14:textId="4F79C252" w:rsidR="004A33EF" w:rsidRDefault="003E3B1D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4.349,14</w:t>
            </w:r>
          </w:p>
        </w:tc>
      </w:tr>
      <w:tr w:rsidR="004A33EF" w14:paraId="74D8D02A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5609F1" w14:textId="6E306E9A" w:rsidR="004A33EF" w:rsidRDefault="004A33EF" w:rsidP="0015793F">
            <w:r>
              <w:t>66</w:t>
            </w:r>
            <w:r w:rsidR="003E3B1D">
              <w:t>3</w:t>
            </w:r>
          </w:p>
        </w:tc>
        <w:tc>
          <w:tcPr>
            <w:tcW w:w="3260" w:type="dxa"/>
          </w:tcPr>
          <w:p w14:paraId="6EC8442E" w14:textId="1BF90508" w:rsidR="004A33EF" w:rsidRDefault="003E3B1D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500,00</w:t>
            </w:r>
          </w:p>
        </w:tc>
        <w:tc>
          <w:tcPr>
            <w:tcW w:w="3680" w:type="dxa"/>
          </w:tcPr>
          <w:p w14:paraId="13EC8C8E" w14:textId="17E378E0" w:rsidR="004A33EF" w:rsidRDefault="003E3B1D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550,00</w:t>
            </w:r>
          </w:p>
        </w:tc>
      </w:tr>
      <w:tr w:rsidR="004A33EF" w14:paraId="28A2C099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B6DE62" w14:textId="77777777" w:rsidR="004A33EF" w:rsidRDefault="004A33EF" w:rsidP="0015793F">
            <w:r>
              <w:t>671</w:t>
            </w:r>
          </w:p>
        </w:tc>
        <w:tc>
          <w:tcPr>
            <w:tcW w:w="3260" w:type="dxa"/>
          </w:tcPr>
          <w:p w14:paraId="4E7E2AA5" w14:textId="71278CC4" w:rsidR="004A33EF" w:rsidRDefault="003E3B1D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65.799,62</w:t>
            </w:r>
          </w:p>
        </w:tc>
        <w:tc>
          <w:tcPr>
            <w:tcW w:w="3680" w:type="dxa"/>
          </w:tcPr>
          <w:p w14:paraId="5936DC00" w14:textId="6A0939A8" w:rsidR="004A33EF" w:rsidRDefault="003E3B1D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91.180,09</w:t>
            </w:r>
          </w:p>
        </w:tc>
      </w:tr>
    </w:tbl>
    <w:p w14:paraId="5DB8142F" w14:textId="77777777" w:rsidR="004A33EF" w:rsidRDefault="004A33EF" w:rsidP="00BE6993">
      <w:pPr>
        <w:spacing w:after="0"/>
        <w:jc w:val="both"/>
        <w:rPr>
          <w:sz w:val="24"/>
          <w:szCs w:val="24"/>
        </w:rPr>
      </w:pPr>
    </w:p>
    <w:p w14:paraId="1614CF45" w14:textId="3760403E" w:rsidR="00AE4509" w:rsidRDefault="00AE4509" w:rsidP="00BE6993">
      <w:pPr>
        <w:spacing w:after="0"/>
        <w:jc w:val="both"/>
        <w:rPr>
          <w:sz w:val="24"/>
          <w:szCs w:val="24"/>
        </w:rPr>
      </w:pPr>
    </w:p>
    <w:p w14:paraId="0065C855" w14:textId="4183BA20" w:rsidR="00137547" w:rsidRDefault="00137547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kontu 671 </w:t>
      </w:r>
      <w:r w:rsidR="005F52A4">
        <w:rPr>
          <w:sz w:val="24"/>
          <w:szCs w:val="24"/>
        </w:rPr>
        <w:t xml:space="preserve"> i 639 </w:t>
      </w:r>
      <w:r>
        <w:rPr>
          <w:sz w:val="24"/>
          <w:szCs w:val="24"/>
        </w:rPr>
        <w:t>evidentirani su prihodi iz nadležnog proračuna, Grada Čakovca</w:t>
      </w:r>
      <w:r w:rsidR="00FC4BCB">
        <w:rPr>
          <w:sz w:val="24"/>
          <w:szCs w:val="24"/>
        </w:rPr>
        <w:t>,</w:t>
      </w:r>
      <w:r>
        <w:rPr>
          <w:sz w:val="24"/>
          <w:szCs w:val="24"/>
        </w:rPr>
        <w:t xml:space="preserve"> koji uz materijalne troškove škole financira i stručnjaka za e-tehničku podršku, dio plaće za pomoćnike u nastavi</w:t>
      </w:r>
      <w:r w:rsidR="008408DF">
        <w:rPr>
          <w:sz w:val="24"/>
          <w:szCs w:val="24"/>
        </w:rPr>
        <w:t xml:space="preserve"> zaposlene kroz projekt EU, </w:t>
      </w:r>
      <w:r>
        <w:rPr>
          <w:sz w:val="24"/>
          <w:szCs w:val="24"/>
        </w:rPr>
        <w:t xml:space="preserve"> </w:t>
      </w:r>
      <w:r w:rsidR="008408DF">
        <w:rPr>
          <w:sz w:val="24"/>
          <w:szCs w:val="24"/>
        </w:rPr>
        <w:t xml:space="preserve">te dio za plaće </w:t>
      </w:r>
      <w:r w:rsidR="004A33EF">
        <w:rPr>
          <w:sz w:val="24"/>
          <w:szCs w:val="24"/>
        </w:rPr>
        <w:t>dodatne pomoćnike</w:t>
      </w:r>
      <w:r w:rsidR="008408DF">
        <w:rPr>
          <w:sz w:val="24"/>
          <w:szCs w:val="24"/>
        </w:rPr>
        <w:t xml:space="preserve"> u nastavi koje u stopostotnom iznosu financira Grad Čakovec</w:t>
      </w:r>
      <w:r w:rsidR="00A13086">
        <w:rPr>
          <w:sz w:val="24"/>
          <w:szCs w:val="24"/>
        </w:rPr>
        <w:t>.</w:t>
      </w:r>
      <w:r w:rsidR="004A33EF">
        <w:rPr>
          <w:sz w:val="24"/>
          <w:szCs w:val="24"/>
        </w:rPr>
        <w:t xml:space="preserve"> </w:t>
      </w:r>
      <w:r w:rsidR="008408DF">
        <w:rPr>
          <w:sz w:val="24"/>
          <w:szCs w:val="24"/>
        </w:rPr>
        <w:t xml:space="preserve"> Od rujna 2023. Grad Čakovec također financira i provođenje građanskog odgoja u OŠ </w:t>
      </w:r>
      <w:proofErr w:type="spellStart"/>
      <w:r w:rsidR="008408DF">
        <w:rPr>
          <w:sz w:val="24"/>
          <w:szCs w:val="24"/>
        </w:rPr>
        <w:t>Kuršanec</w:t>
      </w:r>
      <w:proofErr w:type="spellEnd"/>
      <w:r w:rsidR="004A33EF">
        <w:rPr>
          <w:sz w:val="24"/>
          <w:szCs w:val="24"/>
        </w:rPr>
        <w:t>, pa je tako evidentiran i prihod koji se odnosi na građanski odgoj 202</w:t>
      </w:r>
      <w:r w:rsidR="005F52A4">
        <w:rPr>
          <w:sz w:val="24"/>
          <w:szCs w:val="24"/>
        </w:rPr>
        <w:t>5</w:t>
      </w:r>
      <w:r w:rsidR="004A33EF">
        <w:rPr>
          <w:sz w:val="24"/>
          <w:szCs w:val="24"/>
        </w:rPr>
        <w:t>.</w:t>
      </w:r>
    </w:p>
    <w:p w14:paraId="5AD82AB8" w14:textId="026F7480" w:rsidR="00DC18D8" w:rsidRDefault="00DC18D8" w:rsidP="00BE6993">
      <w:pPr>
        <w:spacing w:after="0"/>
        <w:jc w:val="both"/>
        <w:rPr>
          <w:sz w:val="24"/>
          <w:szCs w:val="24"/>
        </w:rPr>
      </w:pPr>
    </w:p>
    <w:p w14:paraId="0D5D259F" w14:textId="017F06C8" w:rsidR="004A33EF" w:rsidRDefault="004A33EF" w:rsidP="007633BC">
      <w:pPr>
        <w:spacing w:after="0"/>
        <w:jc w:val="both"/>
        <w:rPr>
          <w:sz w:val="24"/>
          <w:szCs w:val="24"/>
        </w:rPr>
      </w:pPr>
    </w:p>
    <w:p w14:paraId="0133C588" w14:textId="0F3880DA" w:rsidR="00E8042C" w:rsidRDefault="00E8042C" w:rsidP="00763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Rashodi škole također su uvećani u odnosu na 202</w:t>
      </w:r>
      <w:r w:rsidR="005F52A4">
        <w:rPr>
          <w:sz w:val="24"/>
          <w:szCs w:val="24"/>
        </w:rPr>
        <w:t>4</w:t>
      </w:r>
      <w:r>
        <w:rPr>
          <w:sz w:val="24"/>
          <w:szCs w:val="24"/>
        </w:rPr>
        <w:t xml:space="preserve">. godinu, baš kao i prihodi, radi povećanja rashoda za plaće djelatnika </w:t>
      </w:r>
      <w:r w:rsidR="00A13086">
        <w:rPr>
          <w:sz w:val="24"/>
          <w:szCs w:val="24"/>
        </w:rPr>
        <w:t>(</w:t>
      </w:r>
      <w:r>
        <w:rPr>
          <w:sz w:val="24"/>
          <w:szCs w:val="24"/>
        </w:rPr>
        <w:t>311</w:t>
      </w:r>
      <w:r w:rsidR="00A13086">
        <w:rPr>
          <w:sz w:val="24"/>
          <w:szCs w:val="24"/>
        </w:rPr>
        <w:t>)</w:t>
      </w:r>
      <w:r>
        <w:rPr>
          <w:sz w:val="24"/>
          <w:szCs w:val="24"/>
        </w:rPr>
        <w:t>, čime su povećani bruto rashodi kao i  rashodi doprinosa na plaću npr. za zdravstveno osiguranje</w:t>
      </w:r>
      <w:r w:rsidR="00A13086">
        <w:rPr>
          <w:sz w:val="24"/>
          <w:szCs w:val="24"/>
        </w:rPr>
        <w:t xml:space="preserve"> (</w:t>
      </w:r>
      <w:r>
        <w:rPr>
          <w:sz w:val="24"/>
          <w:szCs w:val="24"/>
        </w:rPr>
        <w:t>313</w:t>
      </w:r>
      <w:r w:rsidR="00A13086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5F52A4">
        <w:rPr>
          <w:sz w:val="24"/>
          <w:szCs w:val="24"/>
        </w:rPr>
        <w:t xml:space="preserve"> Uz rast koeficijenata za obračun plaće u javnom sektoru, u OŠ </w:t>
      </w:r>
      <w:proofErr w:type="spellStart"/>
      <w:r w:rsidR="005F52A4">
        <w:rPr>
          <w:sz w:val="24"/>
          <w:szCs w:val="24"/>
        </w:rPr>
        <w:t>Kuršanec</w:t>
      </w:r>
      <w:proofErr w:type="spellEnd"/>
      <w:r w:rsidR="005F52A4">
        <w:rPr>
          <w:sz w:val="24"/>
          <w:szCs w:val="24"/>
        </w:rPr>
        <w:t xml:space="preserve"> primijećen je i veći broj bolovanja u odnosu na prethodan razdoblja što je kao posljedicu imalo zapošljavanje </w:t>
      </w:r>
      <w:r w:rsidR="00910740">
        <w:rPr>
          <w:sz w:val="24"/>
          <w:szCs w:val="24"/>
        </w:rPr>
        <w:t xml:space="preserve">dodatnog kadra u vidu zamjena ili ugovaranje prekovremenog rada. </w:t>
      </w:r>
    </w:p>
    <w:p w14:paraId="517C2F4B" w14:textId="77777777" w:rsidR="005F52A4" w:rsidRDefault="005F52A4" w:rsidP="007633BC">
      <w:pPr>
        <w:spacing w:after="0"/>
        <w:jc w:val="both"/>
        <w:rPr>
          <w:sz w:val="24"/>
          <w:szCs w:val="24"/>
        </w:rPr>
      </w:pPr>
    </w:p>
    <w:p w14:paraId="7317C21D" w14:textId="4B5FAA9B" w:rsidR="00E8042C" w:rsidRDefault="00910740" w:rsidP="00763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materijal  i energiju (322) također su uvećani u odnosu na 2024. godinu ponajviše radi nabave veće količine namirnica za školsku kuhinju, ali i zbog </w:t>
      </w:r>
      <w:r w:rsidR="00A13086">
        <w:rPr>
          <w:sz w:val="24"/>
          <w:szCs w:val="24"/>
        </w:rPr>
        <w:t xml:space="preserve">značajnijeg </w:t>
      </w:r>
      <w:r>
        <w:rPr>
          <w:sz w:val="24"/>
          <w:szCs w:val="24"/>
        </w:rPr>
        <w:t xml:space="preserve">rasta cijena istih. </w:t>
      </w:r>
    </w:p>
    <w:p w14:paraId="4339CC44" w14:textId="1B5E1683" w:rsidR="00881AA9" w:rsidRDefault="00881AA9" w:rsidP="007633BC">
      <w:pPr>
        <w:spacing w:after="0"/>
        <w:jc w:val="both"/>
        <w:rPr>
          <w:sz w:val="24"/>
          <w:szCs w:val="24"/>
        </w:rPr>
      </w:pPr>
    </w:p>
    <w:p w14:paraId="03924FD9" w14:textId="1F0DEA69" w:rsidR="00881AA9" w:rsidRDefault="00881AA9" w:rsidP="007633BC">
      <w:pPr>
        <w:spacing w:after="0"/>
        <w:jc w:val="both"/>
        <w:rPr>
          <w:sz w:val="24"/>
          <w:szCs w:val="24"/>
        </w:rPr>
      </w:pPr>
    </w:p>
    <w:tbl>
      <w:tblPr>
        <w:tblStyle w:val="Tablicareetke3-isticanje6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881AA9" w:rsidRPr="00424FA6" w14:paraId="5E3CF806" w14:textId="77777777" w:rsidTr="00157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</w:tcPr>
          <w:p w14:paraId="6E1FAA36" w14:textId="77777777" w:rsidR="00881AA9" w:rsidRPr="00424FA6" w:rsidRDefault="00881AA9" w:rsidP="0015793F">
            <w:pPr>
              <w:jc w:val="center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CTO</w:t>
            </w:r>
          </w:p>
        </w:tc>
        <w:tc>
          <w:tcPr>
            <w:tcW w:w="3260" w:type="dxa"/>
          </w:tcPr>
          <w:p w14:paraId="4FD1C9C9" w14:textId="32F7E06D" w:rsidR="00881AA9" w:rsidRPr="00424FA6" w:rsidRDefault="00881AA9" w:rsidP="0015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202</w:t>
            </w:r>
            <w:r w:rsidR="00BD5FE6">
              <w:rPr>
                <w:color w:val="385623" w:themeColor="accent6" w:themeShade="80"/>
              </w:rPr>
              <w:t>4</w:t>
            </w:r>
          </w:p>
        </w:tc>
        <w:tc>
          <w:tcPr>
            <w:tcW w:w="3680" w:type="dxa"/>
          </w:tcPr>
          <w:p w14:paraId="3E36FAB6" w14:textId="6F7F840C" w:rsidR="00881AA9" w:rsidRPr="00424FA6" w:rsidRDefault="00881AA9" w:rsidP="0015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202</w:t>
            </w:r>
            <w:r w:rsidR="00BD5FE6">
              <w:rPr>
                <w:color w:val="385623" w:themeColor="accent6" w:themeShade="80"/>
              </w:rPr>
              <w:t>5</w:t>
            </w:r>
          </w:p>
        </w:tc>
      </w:tr>
      <w:tr w:rsidR="00881AA9" w14:paraId="5F738F9B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03EB33" w14:textId="77777777" w:rsidR="00881AA9" w:rsidRDefault="00881AA9" w:rsidP="0015793F">
            <w:r>
              <w:t>311</w:t>
            </w:r>
          </w:p>
        </w:tc>
        <w:tc>
          <w:tcPr>
            <w:tcW w:w="3260" w:type="dxa"/>
          </w:tcPr>
          <w:p w14:paraId="0562E862" w14:textId="301E6A32" w:rsidR="00881AA9" w:rsidRDefault="00CC4B17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877.740,13</w:t>
            </w:r>
          </w:p>
        </w:tc>
        <w:tc>
          <w:tcPr>
            <w:tcW w:w="3680" w:type="dxa"/>
          </w:tcPr>
          <w:p w14:paraId="3E79BDCF" w14:textId="77270043" w:rsidR="00881AA9" w:rsidRDefault="00CC4B17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1.193.150,38</w:t>
            </w:r>
          </w:p>
        </w:tc>
      </w:tr>
      <w:tr w:rsidR="00881AA9" w14:paraId="1D1D1CE0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590C3D" w14:textId="77777777" w:rsidR="00881AA9" w:rsidRDefault="00881AA9" w:rsidP="0015793F">
            <w:r>
              <w:t>312</w:t>
            </w:r>
          </w:p>
        </w:tc>
        <w:tc>
          <w:tcPr>
            <w:tcW w:w="3260" w:type="dxa"/>
          </w:tcPr>
          <w:p w14:paraId="463785AF" w14:textId="1D01B916" w:rsidR="00881AA9" w:rsidRDefault="00CC4B17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33.750,57</w:t>
            </w:r>
          </w:p>
        </w:tc>
        <w:tc>
          <w:tcPr>
            <w:tcW w:w="3680" w:type="dxa"/>
          </w:tcPr>
          <w:p w14:paraId="5B10586C" w14:textId="09B43E53" w:rsidR="00881AA9" w:rsidRDefault="00CC4B17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36.165,76</w:t>
            </w:r>
          </w:p>
        </w:tc>
      </w:tr>
      <w:tr w:rsidR="00881AA9" w14:paraId="1F68FD9C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E97799" w14:textId="77777777" w:rsidR="00881AA9" w:rsidRDefault="00881AA9" w:rsidP="0015793F">
            <w:r>
              <w:t>313</w:t>
            </w:r>
          </w:p>
        </w:tc>
        <w:tc>
          <w:tcPr>
            <w:tcW w:w="3260" w:type="dxa"/>
          </w:tcPr>
          <w:p w14:paraId="179DE13B" w14:textId="689EF439" w:rsidR="00881AA9" w:rsidRDefault="00CC4B17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137.908,44</w:t>
            </w:r>
          </w:p>
        </w:tc>
        <w:tc>
          <w:tcPr>
            <w:tcW w:w="3680" w:type="dxa"/>
          </w:tcPr>
          <w:p w14:paraId="1ED65433" w14:textId="6739E7A0" w:rsidR="00881AA9" w:rsidRDefault="00CC4B17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191.176,81</w:t>
            </w:r>
          </w:p>
        </w:tc>
      </w:tr>
      <w:tr w:rsidR="00881AA9" w14:paraId="2ADDA38C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D61A09" w14:textId="77777777" w:rsidR="00881AA9" w:rsidRDefault="00881AA9" w:rsidP="0015793F">
            <w:r>
              <w:t>321</w:t>
            </w:r>
          </w:p>
        </w:tc>
        <w:tc>
          <w:tcPr>
            <w:tcW w:w="3260" w:type="dxa"/>
          </w:tcPr>
          <w:p w14:paraId="45B18A9F" w14:textId="1537F341" w:rsidR="00881AA9" w:rsidRDefault="00CC4B17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76.008,50</w:t>
            </w:r>
          </w:p>
        </w:tc>
        <w:tc>
          <w:tcPr>
            <w:tcW w:w="3680" w:type="dxa"/>
          </w:tcPr>
          <w:p w14:paraId="471FD28F" w14:textId="6E774D26" w:rsidR="00881AA9" w:rsidRDefault="00CC4B17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86.684,26</w:t>
            </w:r>
          </w:p>
        </w:tc>
      </w:tr>
      <w:tr w:rsidR="00881AA9" w14:paraId="7607FD10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D80568" w14:textId="77777777" w:rsidR="00881AA9" w:rsidRDefault="00881AA9" w:rsidP="0015793F">
            <w:r>
              <w:t>322</w:t>
            </w:r>
          </w:p>
        </w:tc>
        <w:tc>
          <w:tcPr>
            <w:tcW w:w="3260" w:type="dxa"/>
          </w:tcPr>
          <w:p w14:paraId="61542E90" w14:textId="33DAFE4D" w:rsidR="00881AA9" w:rsidRDefault="00CC4B17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59.916,69</w:t>
            </w:r>
          </w:p>
        </w:tc>
        <w:tc>
          <w:tcPr>
            <w:tcW w:w="3680" w:type="dxa"/>
          </w:tcPr>
          <w:p w14:paraId="758B2499" w14:textId="403B6700" w:rsidR="005F52A4" w:rsidRDefault="00CC4B17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83.816,52</w:t>
            </w:r>
          </w:p>
        </w:tc>
      </w:tr>
      <w:tr w:rsidR="00881AA9" w14:paraId="77E70C70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8435D7" w14:textId="77777777" w:rsidR="00881AA9" w:rsidRDefault="00881AA9" w:rsidP="0015793F">
            <w:r>
              <w:t>323</w:t>
            </w:r>
          </w:p>
        </w:tc>
        <w:tc>
          <w:tcPr>
            <w:tcW w:w="3260" w:type="dxa"/>
          </w:tcPr>
          <w:p w14:paraId="0A1249A8" w14:textId="396182FE" w:rsidR="00881AA9" w:rsidRDefault="00CC4B17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26.870,68</w:t>
            </w:r>
          </w:p>
        </w:tc>
        <w:tc>
          <w:tcPr>
            <w:tcW w:w="3680" w:type="dxa"/>
          </w:tcPr>
          <w:p w14:paraId="7AA06F9E" w14:textId="0DA2FF1E" w:rsidR="00881AA9" w:rsidRDefault="00CC4B17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26.096,10</w:t>
            </w:r>
          </w:p>
        </w:tc>
      </w:tr>
      <w:tr w:rsidR="00881AA9" w14:paraId="4E4448B0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D51141" w14:textId="77777777" w:rsidR="00881AA9" w:rsidRDefault="00881AA9" w:rsidP="0015793F">
            <w:r>
              <w:t>329</w:t>
            </w:r>
          </w:p>
        </w:tc>
        <w:tc>
          <w:tcPr>
            <w:tcW w:w="3260" w:type="dxa"/>
          </w:tcPr>
          <w:p w14:paraId="0A03F276" w14:textId="4D6AC334" w:rsidR="00881AA9" w:rsidRDefault="00CC4B17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4.088,40</w:t>
            </w:r>
          </w:p>
        </w:tc>
        <w:tc>
          <w:tcPr>
            <w:tcW w:w="3680" w:type="dxa"/>
          </w:tcPr>
          <w:p w14:paraId="5479587B" w14:textId="3B19C51A" w:rsidR="00881AA9" w:rsidRDefault="00CC4B17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5.457,94</w:t>
            </w:r>
          </w:p>
        </w:tc>
      </w:tr>
      <w:tr w:rsidR="00881AA9" w14:paraId="323E9951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A57842" w14:textId="77777777" w:rsidR="00881AA9" w:rsidRDefault="00881AA9" w:rsidP="0015793F">
            <w:r>
              <w:t>343</w:t>
            </w:r>
          </w:p>
        </w:tc>
        <w:tc>
          <w:tcPr>
            <w:tcW w:w="3260" w:type="dxa"/>
          </w:tcPr>
          <w:p w14:paraId="63033A2A" w14:textId="39840A50" w:rsidR="00881AA9" w:rsidRDefault="00CC4B17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189,08</w:t>
            </w:r>
          </w:p>
        </w:tc>
        <w:tc>
          <w:tcPr>
            <w:tcW w:w="3680" w:type="dxa"/>
          </w:tcPr>
          <w:p w14:paraId="0DDB5452" w14:textId="733B2701" w:rsidR="00881AA9" w:rsidRDefault="00CC4B17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189,22</w:t>
            </w:r>
          </w:p>
        </w:tc>
      </w:tr>
    </w:tbl>
    <w:p w14:paraId="73E688EC" w14:textId="77777777" w:rsidR="00881AA9" w:rsidRDefault="00881AA9" w:rsidP="007633BC">
      <w:pPr>
        <w:spacing w:after="0"/>
        <w:jc w:val="both"/>
        <w:rPr>
          <w:sz w:val="24"/>
          <w:szCs w:val="24"/>
        </w:rPr>
      </w:pPr>
    </w:p>
    <w:p w14:paraId="5C7077C1" w14:textId="37573A36" w:rsidR="00DC18D8" w:rsidRDefault="00DC18D8" w:rsidP="00882E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8DFA18" w14:textId="122E0A56" w:rsidR="00E8042C" w:rsidRDefault="00E8042C" w:rsidP="00E8042C">
      <w:pPr>
        <w:spacing w:after="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Preneseni rezultat iz 202</w:t>
      </w:r>
      <w:r w:rsidR="00801028">
        <w:rPr>
          <w:sz w:val="24"/>
          <w:szCs w:val="24"/>
        </w:rPr>
        <w:t>4</w:t>
      </w:r>
      <w:r>
        <w:rPr>
          <w:sz w:val="24"/>
          <w:szCs w:val="24"/>
        </w:rPr>
        <w:t xml:space="preserve">. godine </w:t>
      </w:r>
      <w:r w:rsidR="00CC2CA7">
        <w:rPr>
          <w:sz w:val="24"/>
          <w:szCs w:val="24"/>
        </w:rPr>
        <w:t>iznosi -11.589,55 eura, dok manjak prihoda i primitaka za razdoblje 1.1.-</w:t>
      </w:r>
      <w:r w:rsidR="00CC4B17">
        <w:rPr>
          <w:sz w:val="24"/>
          <w:szCs w:val="24"/>
        </w:rPr>
        <w:t>30.6</w:t>
      </w:r>
      <w:r w:rsidR="00CC2CA7">
        <w:rPr>
          <w:sz w:val="24"/>
          <w:szCs w:val="24"/>
        </w:rPr>
        <w:t>.2025. iznosi -</w:t>
      </w:r>
      <w:r w:rsidR="00001FBE">
        <w:rPr>
          <w:sz w:val="24"/>
          <w:szCs w:val="24"/>
        </w:rPr>
        <w:t>172.874,88</w:t>
      </w:r>
      <w:r w:rsidR="00CC2CA7">
        <w:rPr>
          <w:sz w:val="24"/>
          <w:szCs w:val="24"/>
        </w:rPr>
        <w:t xml:space="preserve"> eura. Shodno tome, manjak prihoda i primitaka za pokriće u sljedećem razdoblju iznosi -</w:t>
      </w:r>
      <w:r w:rsidR="00001FBE">
        <w:rPr>
          <w:sz w:val="24"/>
          <w:szCs w:val="24"/>
        </w:rPr>
        <w:t>184.464,43</w:t>
      </w:r>
      <w:r w:rsidR="00CC2CA7">
        <w:rPr>
          <w:sz w:val="24"/>
          <w:szCs w:val="24"/>
        </w:rPr>
        <w:t xml:space="preserve"> euro. Razlog uvećanog iznosa</w:t>
      </w:r>
      <w:r w:rsidR="00A13086">
        <w:rPr>
          <w:sz w:val="24"/>
          <w:szCs w:val="24"/>
        </w:rPr>
        <w:t xml:space="preserve"> manjka</w:t>
      </w:r>
      <w:r w:rsidR="00CC2CA7">
        <w:rPr>
          <w:sz w:val="24"/>
          <w:szCs w:val="24"/>
        </w:rPr>
        <w:t xml:space="preserve"> u odnosu na prethodne godine je taj što je plaća za </w:t>
      </w:r>
      <w:r w:rsidR="00CC4B17">
        <w:rPr>
          <w:sz w:val="24"/>
          <w:szCs w:val="24"/>
        </w:rPr>
        <w:t>listopad</w:t>
      </w:r>
      <w:r w:rsidR="00CC2CA7">
        <w:rPr>
          <w:sz w:val="24"/>
          <w:szCs w:val="24"/>
        </w:rPr>
        <w:t xml:space="preserve"> 2025. godine evidentirana na kontu rashoda, dok će primitak prihoda za spomenute rashode biti evidentiran u </w:t>
      </w:r>
      <w:r w:rsidR="00001FBE">
        <w:rPr>
          <w:sz w:val="24"/>
          <w:szCs w:val="24"/>
        </w:rPr>
        <w:t xml:space="preserve">srpnju </w:t>
      </w:r>
      <w:r w:rsidR="00CC2CA7">
        <w:rPr>
          <w:sz w:val="24"/>
          <w:szCs w:val="24"/>
        </w:rPr>
        <w:t xml:space="preserve">2025. </w:t>
      </w:r>
      <w:r w:rsidR="00CC4B17">
        <w:rPr>
          <w:sz w:val="24"/>
          <w:szCs w:val="24"/>
        </w:rPr>
        <w:t>g.</w:t>
      </w:r>
      <w:r w:rsidR="00CC2CA7">
        <w:rPr>
          <w:sz w:val="24"/>
          <w:szCs w:val="24"/>
        </w:rPr>
        <w:t xml:space="preserve"> </w:t>
      </w:r>
    </w:p>
    <w:bookmarkEnd w:id="0"/>
    <w:p w14:paraId="12DADFC0" w14:textId="77777777" w:rsidR="00DB038E" w:rsidRDefault="00DB038E" w:rsidP="00BE6993">
      <w:pPr>
        <w:spacing w:after="0"/>
        <w:jc w:val="both"/>
        <w:rPr>
          <w:sz w:val="24"/>
          <w:szCs w:val="24"/>
        </w:rPr>
      </w:pPr>
    </w:p>
    <w:p w14:paraId="384C50C9" w14:textId="62C3FDC4" w:rsidR="008408DF" w:rsidRDefault="008408DF" w:rsidP="00065A51">
      <w:pPr>
        <w:spacing w:after="0"/>
        <w:jc w:val="center"/>
        <w:rPr>
          <w:sz w:val="24"/>
          <w:szCs w:val="24"/>
        </w:rPr>
      </w:pPr>
    </w:p>
    <w:p w14:paraId="43973201" w14:textId="290DAC24" w:rsidR="008408DF" w:rsidRDefault="00CC2CA7" w:rsidP="008408DF">
      <w:pPr>
        <w:pStyle w:val="StandardWeb"/>
      </w:pPr>
      <w:r>
        <w:rPr>
          <w:noProof/>
        </w:rPr>
        <w:drawing>
          <wp:inline distT="0" distB="0" distL="0" distR="0" wp14:anchorId="2D70CB1A" wp14:editId="75CD17E5">
            <wp:extent cx="5524500" cy="3503118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791" cy="352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B44BD" w14:textId="77777777" w:rsidR="008408DF" w:rsidRDefault="008408DF" w:rsidP="00065A51">
      <w:pPr>
        <w:spacing w:after="0"/>
        <w:jc w:val="center"/>
        <w:rPr>
          <w:sz w:val="24"/>
          <w:szCs w:val="24"/>
        </w:rPr>
      </w:pPr>
    </w:p>
    <w:p w14:paraId="0BF50EB8" w14:textId="77777777" w:rsidR="00882E79" w:rsidRDefault="00882E79" w:rsidP="00065A51">
      <w:pPr>
        <w:spacing w:after="0"/>
        <w:jc w:val="center"/>
        <w:rPr>
          <w:sz w:val="24"/>
          <w:szCs w:val="24"/>
        </w:rPr>
      </w:pPr>
    </w:p>
    <w:p w14:paraId="2571D3E5" w14:textId="77777777" w:rsidR="0089199E" w:rsidRDefault="0089199E" w:rsidP="00BE6993">
      <w:pPr>
        <w:spacing w:after="0"/>
        <w:jc w:val="both"/>
        <w:rPr>
          <w:sz w:val="24"/>
          <w:szCs w:val="24"/>
        </w:rPr>
      </w:pPr>
    </w:p>
    <w:p w14:paraId="605A9E06" w14:textId="384E2872" w:rsidR="008147B1" w:rsidRPr="008147B1" w:rsidRDefault="008147B1" w:rsidP="008147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47B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B7B32DA" wp14:editId="0B19F4CC">
            <wp:extent cx="2143125" cy="924485"/>
            <wp:effectExtent l="38100" t="38100" r="28575" b="47625"/>
            <wp:docPr id="2" name="Slika 2" descr="C:\Users\Admin\Desktop\potpis dar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tpis dar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9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48" cy="93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D15582" w14:textId="732E502B" w:rsidR="0028599E" w:rsidRPr="009C1D2C" w:rsidRDefault="0028599E" w:rsidP="009C3E1C">
      <w:pPr>
        <w:spacing w:after="0"/>
        <w:jc w:val="right"/>
        <w:rPr>
          <w:sz w:val="24"/>
          <w:szCs w:val="24"/>
        </w:rPr>
      </w:pPr>
    </w:p>
    <w:sectPr w:rsidR="0028599E" w:rsidRPr="009C1D2C" w:rsidSect="0089199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5C"/>
    <w:rsid w:val="00001FBE"/>
    <w:rsid w:val="000506FA"/>
    <w:rsid w:val="00065A51"/>
    <w:rsid w:val="000A1CE7"/>
    <w:rsid w:val="000C6C24"/>
    <w:rsid w:val="000E23A4"/>
    <w:rsid w:val="000F0DE1"/>
    <w:rsid w:val="00137547"/>
    <w:rsid w:val="00185A2E"/>
    <w:rsid w:val="001C60D8"/>
    <w:rsid w:val="001F2E53"/>
    <w:rsid w:val="00234A64"/>
    <w:rsid w:val="00261AAE"/>
    <w:rsid w:val="00271D5C"/>
    <w:rsid w:val="0028599E"/>
    <w:rsid w:val="002A16B0"/>
    <w:rsid w:val="002D261C"/>
    <w:rsid w:val="00302F72"/>
    <w:rsid w:val="00327BE7"/>
    <w:rsid w:val="00341614"/>
    <w:rsid w:val="00363681"/>
    <w:rsid w:val="00395965"/>
    <w:rsid w:val="003E3B1D"/>
    <w:rsid w:val="00402DEA"/>
    <w:rsid w:val="00405BCE"/>
    <w:rsid w:val="0042515C"/>
    <w:rsid w:val="004A33EF"/>
    <w:rsid w:val="004B4DCD"/>
    <w:rsid w:val="00534B40"/>
    <w:rsid w:val="005773A1"/>
    <w:rsid w:val="005F52A4"/>
    <w:rsid w:val="006461BA"/>
    <w:rsid w:val="00662E68"/>
    <w:rsid w:val="00693AA1"/>
    <w:rsid w:val="00693AEA"/>
    <w:rsid w:val="006F77E7"/>
    <w:rsid w:val="007130BA"/>
    <w:rsid w:val="0074681B"/>
    <w:rsid w:val="007633BC"/>
    <w:rsid w:val="00781AE8"/>
    <w:rsid w:val="007A515B"/>
    <w:rsid w:val="00801028"/>
    <w:rsid w:val="008147B1"/>
    <w:rsid w:val="008408DF"/>
    <w:rsid w:val="00881AA9"/>
    <w:rsid w:val="00882E79"/>
    <w:rsid w:val="0089199E"/>
    <w:rsid w:val="008B4072"/>
    <w:rsid w:val="00903A40"/>
    <w:rsid w:val="00910740"/>
    <w:rsid w:val="00914576"/>
    <w:rsid w:val="00973B76"/>
    <w:rsid w:val="00977EC5"/>
    <w:rsid w:val="009A7D31"/>
    <w:rsid w:val="009B3E5E"/>
    <w:rsid w:val="009C1D2C"/>
    <w:rsid w:val="009C3E1C"/>
    <w:rsid w:val="00A13086"/>
    <w:rsid w:val="00AE4509"/>
    <w:rsid w:val="00B23A9D"/>
    <w:rsid w:val="00B335AC"/>
    <w:rsid w:val="00B833A9"/>
    <w:rsid w:val="00BA4181"/>
    <w:rsid w:val="00BD5FE6"/>
    <w:rsid w:val="00BE6993"/>
    <w:rsid w:val="00C115EC"/>
    <w:rsid w:val="00C30B24"/>
    <w:rsid w:val="00C35D49"/>
    <w:rsid w:val="00C85D91"/>
    <w:rsid w:val="00C96275"/>
    <w:rsid w:val="00CC2CA7"/>
    <w:rsid w:val="00CC4B17"/>
    <w:rsid w:val="00CD42E6"/>
    <w:rsid w:val="00D10E24"/>
    <w:rsid w:val="00D25DB9"/>
    <w:rsid w:val="00D6685C"/>
    <w:rsid w:val="00D76E7E"/>
    <w:rsid w:val="00D77A40"/>
    <w:rsid w:val="00D92C75"/>
    <w:rsid w:val="00DB038E"/>
    <w:rsid w:val="00DC18D8"/>
    <w:rsid w:val="00DF3A73"/>
    <w:rsid w:val="00E15619"/>
    <w:rsid w:val="00E8042C"/>
    <w:rsid w:val="00E96D59"/>
    <w:rsid w:val="00EA6ABE"/>
    <w:rsid w:val="00EC7E2C"/>
    <w:rsid w:val="00F43722"/>
    <w:rsid w:val="00F7216E"/>
    <w:rsid w:val="00F9052E"/>
    <w:rsid w:val="00F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621B"/>
  <w15:chartTrackingRefBased/>
  <w15:docId w15:val="{EDE6E3A3-6CF1-4C8A-8DD4-6F2301D8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D4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84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reetke3-isticanje6">
    <w:name w:val="Grid Table 3 Accent 6"/>
    <w:basedOn w:val="Obinatablica"/>
    <w:uiPriority w:val="48"/>
    <w:rsid w:val="004A33E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8D44B-6FB3-4961-80E7-E1879558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Fučec</dc:creator>
  <cp:keywords/>
  <dc:description/>
  <cp:lastModifiedBy>Elena Fučec</cp:lastModifiedBy>
  <cp:revision>53</cp:revision>
  <cp:lastPrinted>2023-07-10T06:06:00Z</cp:lastPrinted>
  <dcterms:created xsi:type="dcterms:W3CDTF">2022-01-27T11:31:00Z</dcterms:created>
  <dcterms:modified xsi:type="dcterms:W3CDTF">2025-07-08T09:34:00Z</dcterms:modified>
</cp:coreProperties>
</file>