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0B4B1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4"/>
        <w:tblW w:w="10950" w:type="dxa"/>
        <w:tblInd w:w="6" w:type="dxa"/>
        <w:tblLayout w:type="autofit"/>
        <w:tblCellMar>
          <w:top w:w="68" w:type="dxa"/>
          <w:left w:w="80" w:type="dxa"/>
          <w:bottom w:w="0" w:type="dxa"/>
          <w:right w:w="77" w:type="dxa"/>
        </w:tblCellMar>
      </w:tblPr>
      <w:tblGrid>
        <w:gridCol w:w="423"/>
        <w:gridCol w:w="542"/>
        <w:gridCol w:w="1573"/>
        <w:gridCol w:w="1124"/>
        <w:gridCol w:w="653"/>
        <w:gridCol w:w="269"/>
        <w:gridCol w:w="232"/>
        <w:gridCol w:w="231"/>
        <w:gridCol w:w="735"/>
        <w:gridCol w:w="683"/>
        <w:gridCol w:w="4485"/>
      </w:tblGrid>
      <w:tr w14:paraId="4E2B8D72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gridAfter w:val="8"/>
          <w:wAfter w:w="8412" w:type="dxa"/>
          <w:trHeight w:val="345" w:hRule="atLeast"/>
        </w:trPr>
        <w:tc>
          <w:tcPr>
            <w:tcW w:w="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7BC0BFD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8D9220">
            <w:pPr>
              <w:spacing w:after="0" w:line="259" w:lineRule="auto"/>
              <w:ind w:left="0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1/2026</w:t>
            </w:r>
          </w:p>
        </w:tc>
      </w:tr>
      <w:tr w14:paraId="16BC5E33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77DE349D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229561F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57DB64F1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14:paraId="709640F4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7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768C8A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FA64F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FF7772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Osnovna škola Kuršanec</w:t>
            </w:r>
          </w:p>
        </w:tc>
      </w:tr>
      <w:tr w14:paraId="43CAE7DE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46CA4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C9CB9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9477F5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rFonts w:hint="default"/>
                <w:sz w:val="18"/>
                <w:lang w:val="hr-HR"/>
              </w:rPr>
              <w:t>Glavna 15, Kuršanec</w:t>
            </w:r>
          </w:p>
        </w:tc>
      </w:tr>
      <w:tr w14:paraId="6A2F963F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2DFED9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6A473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2F8C8A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rFonts w:hint="default"/>
                <w:sz w:val="18"/>
                <w:lang w:val="hr-HR"/>
              </w:rPr>
              <w:t>40000 Čakovec</w:t>
            </w:r>
          </w:p>
        </w:tc>
      </w:tr>
      <w:tr w14:paraId="1C0B3CFD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3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A3E28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352CC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C4B20E">
            <w:pPr>
              <w:spacing w:after="0" w:line="259" w:lineRule="auto"/>
              <w:ind w:left="0" w:firstLine="0"/>
              <w:rPr>
                <w:rFonts w:hint="default"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hint="default" w:asciiTheme="minorHAnsi" w:hAnsiTheme="minorHAnsi" w:cstheme="minorHAnsi"/>
                <w:sz w:val="18"/>
                <w:szCs w:val="18"/>
                <w:lang w:val="hr-HR"/>
              </w:rPr>
              <w:t>-</w:t>
            </w:r>
          </w:p>
          <w:p w14:paraId="0302C34E">
            <w:pPr>
              <w:spacing w:after="0" w:line="259" w:lineRule="auto"/>
              <w:ind w:left="0" w:firstLine="0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(u okolnostima iz čl.13 st. 13)</w:t>
            </w:r>
          </w:p>
        </w:tc>
      </w:tr>
      <w:tr w14:paraId="72B253FE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762F6B7C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143B6006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DF6FEA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4.</w:t>
            </w:r>
          </w:p>
        </w:tc>
        <w:tc>
          <w:tcPr>
            <w:tcW w:w="636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4AD54484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14:paraId="68C9A95A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3E4D218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300BDB09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51DEBB7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14:paraId="069FEF3D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7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72D09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B9041A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Škola u prirodi</w:t>
            </w:r>
          </w:p>
        </w:tc>
        <w:tc>
          <w:tcPr>
            <w:tcW w:w="11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DF2BB8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9CF641">
            <w:pPr>
              <w:spacing w:after="0" w:line="259" w:lineRule="auto"/>
              <w:ind w:left="0" w:firstLine="0"/>
              <w:jc w:val="right"/>
            </w:pPr>
            <w:r>
              <w:rPr>
                <w:rFonts w:hint="default"/>
                <w:b/>
                <w:bCs/>
                <w:sz w:val="18"/>
                <w:lang w:val="hr-HR"/>
              </w:rPr>
              <w:t>2</w:t>
            </w:r>
            <w:r>
              <w:rPr>
                <w:rFonts w:hint="default"/>
                <w:sz w:val="18"/>
                <w:lang w:val="hr-HR"/>
              </w:rPr>
              <w:t xml:space="preserve"> </w:t>
            </w:r>
            <w:r>
              <w:rPr>
                <w:sz w:val="18"/>
              </w:rPr>
              <w:t>noćenja</w:t>
            </w:r>
          </w:p>
        </w:tc>
      </w:tr>
      <w:tr w14:paraId="4763B029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A99F8C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5A9407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Višednevna terenska nastava</w:t>
            </w:r>
          </w:p>
        </w:tc>
        <w:tc>
          <w:tcPr>
            <w:tcW w:w="11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EDA60A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078AC7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14:paraId="5D7637E7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69F3C1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B90B4E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Školska ekskurzija</w:t>
            </w:r>
          </w:p>
        </w:tc>
        <w:tc>
          <w:tcPr>
            <w:tcW w:w="11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F3812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AEC2DC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14:paraId="53320A53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3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4B8BC9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3E62F4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Posjet</w:t>
            </w:r>
          </w:p>
        </w:tc>
        <w:tc>
          <w:tcPr>
            <w:tcW w:w="11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6708AD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1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C4AD1D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14:paraId="6DF7710E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41C2F55C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6F4B90C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40FE11A3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14:paraId="2336DD4D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7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8B913E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3E7663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Područje u Republici Hrvatskoj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50A782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Crikvenica</w:t>
            </w:r>
          </w:p>
        </w:tc>
      </w:tr>
      <w:tr w14:paraId="205BD85D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3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D499DC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1F39F5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Država/e u inozemstvu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FF25D9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14:paraId="325242F7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vMerge w:val="restart"/>
            <w:tcBorders>
              <w:top w:val="single" w:color="00000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CCCCCC"/>
            <w:vAlign w:val="center"/>
          </w:tcPr>
          <w:p w14:paraId="7E883C2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39" w:type="dxa"/>
            <w:gridSpan w:val="3"/>
            <w:vMerge w:val="restart"/>
            <w:tcBorders>
              <w:top w:val="single" w:color="000000" w:sz="6" w:space="0"/>
              <w:left w:val="single" w:color="231F2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4B78923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231F20" w:sz="6" w:space="0"/>
              <w:right w:val="single" w:color="231F20" w:sz="6" w:space="0"/>
            </w:tcBorders>
          </w:tcPr>
          <w:p w14:paraId="683B84CB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15.</w:t>
            </w:r>
          </w:p>
        </w:tc>
        <w:tc>
          <w:tcPr>
            <w:tcW w:w="732" w:type="dxa"/>
            <w:gridSpan w:val="3"/>
            <w:tcBorders>
              <w:top w:val="single" w:color="00000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 w14:paraId="4E624247">
            <w:pPr>
              <w:spacing w:after="0" w:line="259" w:lineRule="auto"/>
              <w:ind w:left="0" w:firstLine="0"/>
            </w:pPr>
            <w:r>
              <w:rPr>
                <w:rFonts w:hint="default"/>
                <w:sz w:val="18"/>
                <w:lang w:val="hr-HR"/>
              </w:rPr>
              <w:t>09.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 w14:paraId="2A95722A">
            <w:pPr>
              <w:spacing w:after="0" w:line="259" w:lineRule="auto"/>
              <w:ind w:left="0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30.</w:t>
            </w:r>
          </w:p>
        </w:tc>
        <w:tc>
          <w:tcPr>
            <w:tcW w:w="683" w:type="dxa"/>
            <w:tcBorders>
              <w:top w:val="single" w:color="00000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 w14:paraId="42497CF7">
            <w:pPr>
              <w:spacing w:after="0" w:line="259" w:lineRule="auto"/>
              <w:ind w:left="0" w:firstLine="0"/>
            </w:pPr>
            <w:r>
              <w:rPr>
                <w:rFonts w:hint="default"/>
                <w:sz w:val="18"/>
                <w:lang w:val="hr-HR"/>
              </w:rPr>
              <w:t>09.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485" w:type="dxa"/>
            <w:tcBorders>
              <w:top w:val="single" w:color="00000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 w14:paraId="184BE30E">
            <w:pPr>
              <w:spacing w:after="0" w:line="259" w:lineRule="auto"/>
              <w:ind w:left="0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2026.</w:t>
            </w:r>
            <w:bookmarkStart w:id="0" w:name="_GoBack"/>
            <w:bookmarkEnd w:id="0"/>
          </w:p>
        </w:tc>
      </w:tr>
      <w:tr w14:paraId="2A3DE3E2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0" w:type="auto"/>
            <w:vMerge w:val="continue"/>
            <w:tcBorders>
              <w:top w:val="nil"/>
              <w:left w:val="single" w:color="231F20" w:sz="6" w:space="0"/>
              <w:bottom w:val="single" w:color="231F20" w:sz="6" w:space="0"/>
              <w:right w:val="single" w:color="231F20" w:sz="6" w:space="0"/>
            </w:tcBorders>
          </w:tcPr>
          <w:p w14:paraId="18DFBE06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vMerge w:val="continue"/>
            <w:tcBorders>
              <w:top w:val="nil"/>
              <w:left w:val="single" w:color="231F20" w:sz="6" w:space="0"/>
              <w:bottom w:val="single" w:color="000000" w:sz="6" w:space="0"/>
              <w:right w:val="single" w:color="000000" w:sz="6" w:space="0"/>
            </w:tcBorders>
          </w:tcPr>
          <w:p w14:paraId="5A8999CF">
            <w:pPr>
              <w:spacing w:after="160" w:line="259" w:lineRule="auto"/>
              <w:ind w:left="0" w:firstLine="0"/>
            </w:pPr>
          </w:p>
        </w:tc>
        <w:tc>
          <w:tcPr>
            <w:tcW w:w="653" w:type="dxa"/>
            <w:tcBorders>
              <w:top w:val="single" w:color="231F2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6BDE8BCA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732" w:type="dxa"/>
            <w:gridSpan w:val="3"/>
            <w:tcBorders>
              <w:top w:val="single" w:color="231F2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53A5AC4F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color="231F2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15D02A25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color="231F2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6DED7FF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85" w:type="dxa"/>
            <w:tcBorders>
              <w:top w:val="single" w:color="231F2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4B522AB9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14:paraId="656DA48E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231F2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235C256D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211495A6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2DBDCCFC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14:paraId="5D586168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52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3A4EC097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  <w:vAlign w:val="center"/>
          </w:tcPr>
          <w:p w14:paraId="7A3F34FF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Predviđeni broj učenika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E11A2A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48</w:t>
            </w:r>
          </w:p>
        </w:tc>
        <w:tc>
          <w:tcPr>
            <w:tcW w:w="66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B59D1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 mogućnošću odstupanja za tri učenika</w:t>
            </w:r>
          </w:p>
        </w:tc>
      </w:tr>
      <w:tr w14:paraId="07621BAB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14:paraId="229DBBC2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14:paraId="1838C75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Predviđeni broj učitelja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14:paraId="554306A0">
            <w:pPr>
              <w:spacing w:after="160" w:line="259" w:lineRule="auto"/>
              <w:ind w:left="0" w:firstLine="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4+ 2 pomoćnika u nastavi</w:t>
            </w:r>
          </w:p>
        </w:tc>
      </w:tr>
      <w:tr w14:paraId="5A02D9EA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14:paraId="59CC260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14:paraId="07DC534F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Očekivani broj gratis ponuda za učenike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74B2FA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14:paraId="00AD4D6C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3A6ECF95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481E5E5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5016404B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14:paraId="144EF736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7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7FE95A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27CF4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B46C05F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Osnovna škola Kuršanec</w:t>
            </w:r>
          </w:p>
        </w:tc>
      </w:tr>
      <w:tr w14:paraId="71569394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3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6E83B2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BF1C8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B65137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Karlovac, Crikvenica</w:t>
            </w:r>
          </w:p>
        </w:tc>
      </w:tr>
      <w:tr w14:paraId="32B361BA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2168847C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41AF5C4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7F747B84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14:paraId="0E656307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527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B8F044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E6366C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Autobus koji udovoljava zakonskim propisima za 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C29F48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X</w:t>
            </w:r>
          </w:p>
        </w:tc>
      </w:tr>
      <w:tr w14:paraId="15A16767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94BD29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29C1E1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Vlak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FFDBD5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14:paraId="391606D3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898F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E1C8BA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Brod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DE3EA5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14:paraId="6FC9FA9F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10A00D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D8CC92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Zrakoplov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2CB93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14:paraId="03B10A40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3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A093D5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5425C6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Kombinirani prijevoz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39FD24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14:paraId="25184C6F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39E2E742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50CE96A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20778AE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14:paraId="6022AF47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7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38FE9D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8CA108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Hostel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0A7B22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14:paraId="4032C813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AB0E29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4B0CCB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Hotel, ako je moguće: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368FAD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X</w:t>
            </w:r>
          </w:p>
        </w:tc>
      </w:tr>
      <w:tr w14:paraId="79181E1A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324DC7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DEB311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rFonts w:hint="default"/>
                <w:sz w:val="18"/>
                <w:lang w:val="hr-HR"/>
              </w:rPr>
              <w:t>X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bliže centru grada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88830A">
            <w:pPr>
              <w:spacing w:after="0" w:line="259" w:lineRule="auto"/>
              <w:ind w:left="2" w:firstLine="0"/>
              <w:rPr>
                <w:rFonts w:hint="default"/>
                <w:lang w:val="hr-HR"/>
              </w:rPr>
            </w:pPr>
            <w:r>
              <w:rPr>
                <w:rFonts w:hint="default"/>
                <w:sz w:val="18"/>
                <w:lang w:val="hr-HR"/>
              </w:rPr>
              <w:t>Crikvenica</w:t>
            </w:r>
          </w:p>
        </w:tc>
      </w:tr>
      <w:tr w14:paraId="75271217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47B4DF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F2985E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izvan grada s mogućnošću korištenja javnog prijevoza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CC2152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14:paraId="7A26636C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EDEB3F">
            <w:pPr>
              <w:spacing w:after="160" w:line="259" w:lineRule="auto"/>
              <w:ind w:left="0" w:firstLine="0"/>
            </w:pP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66C97F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nije bitna udaljenost od grada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4CDF7C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14:paraId="366DA9B3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C11C19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5FBA48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Pansion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7A35C5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14:paraId="62466D5C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13F76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0790F9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Prehrana na bazi polupansiona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5176C6">
            <w:pPr>
              <w:spacing w:after="160" w:line="259" w:lineRule="auto"/>
              <w:ind w:left="0" w:firstLine="0"/>
            </w:pPr>
          </w:p>
        </w:tc>
      </w:tr>
      <w:tr w14:paraId="517BB4C3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DE3DAF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F1458D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Prehrana na bazi punoga pansiona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063067">
            <w:pPr>
              <w:spacing w:after="160" w:line="259" w:lineRule="auto"/>
              <w:ind w:left="0" w:firstLine="0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X</w:t>
            </w:r>
          </w:p>
        </w:tc>
      </w:tr>
      <w:tr w14:paraId="5DD740B8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704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D27269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7BEA41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19D69DBA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učenike s teškoćama, zdravstvenim problemima ili posebnom prehranom i sl.)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6DA171">
            <w:pPr>
              <w:spacing w:after="0" w:line="259" w:lineRule="auto"/>
              <w:ind w:left="0" w:firstLine="0"/>
            </w:pPr>
          </w:p>
        </w:tc>
      </w:tr>
      <w:tr w14:paraId="1F590D61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52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25DAB66D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5295366F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41561B1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14:paraId="6CA028C3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7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63108A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7E50DB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Ulaznice za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F0A96A">
            <w:pPr>
              <w:spacing w:after="0" w:line="259" w:lineRule="auto"/>
              <w:ind w:left="0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Karlovac- akvarij</w:t>
            </w:r>
          </w:p>
        </w:tc>
      </w:tr>
      <w:tr w14:paraId="6A940AC7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48B833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CF6401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Sudjelovanje u radionicama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3C4E48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14:paraId="2421C3BE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3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6E606A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75A078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Turističkog vodiča za razgled grada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99ECE4">
            <w:pPr>
              <w:spacing w:after="0" w:line="259" w:lineRule="auto"/>
              <w:ind w:left="0" w:firstLine="0"/>
              <w:jc w:val="right"/>
            </w:pPr>
            <w:r>
              <w:rPr>
                <w:rFonts w:hint="default"/>
                <w:sz w:val="18"/>
                <w:lang w:val="hr-HR"/>
              </w:rPr>
              <w:t xml:space="preserve">Vodič- animator za cijelo vrijeme putovanja                                    </w:t>
            </w:r>
            <w:r>
              <w:rPr>
                <w:sz w:val="18"/>
              </w:rPr>
              <w:t>(sva navedena odredišta)</w:t>
            </w:r>
          </w:p>
        </w:tc>
      </w:tr>
      <w:tr w14:paraId="3709E56F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52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3E5F0C7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  <w:vAlign w:val="center"/>
          </w:tcPr>
          <w:p w14:paraId="5F6F07A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41856F41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14:paraId="392905AE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7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B39E7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D38F47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posljedica nesretnoga slučaja i bolesti na putovanju u inozemstvu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2C7247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14:paraId="1722B2AB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CBAFA9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1EE33A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zdravstvenog osiguranja za vrijeme puta i boravka u inozemstvu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FFF33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14:paraId="43D79C0D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2CFF3F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48E569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otkaza putovanja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95B89A">
            <w:pPr>
              <w:spacing w:after="0" w:line="259" w:lineRule="auto"/>
              <w:ind w:left="0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X</w:t>
            </w:r>
          </w:p>
        </w:tc>
      </w:tr>
      <w:tr w14:paraId="5DBC0E57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8A69BA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06D796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troškova pomoći povratka u mjesto polazišta u slučaju nesreće i bolesti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899F95">
            <w:pPr>
              <w:spacing w:after="0" w:line="259" w:lineRule="auto"/>
              <w:ind w:left="0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X</w:t>
            </w:r>
          </w:p>
        </w:tc>
      </w:tr>
      <w:tr w14:paraId="494DEA04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3" w:hRule="atLeast"/>
        </w:trPr>
        <w:tc>
          <w:tcPr>
            <w:tcW w:w="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7EF926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28DC9B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oštećenja i gubitka prtljage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A3E9D2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14:paraId="17FB8FEC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1095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CCCCC"/>
          </w:tcPr>
          <w:p w14:paraId="4D17754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14:paraId="578C3DED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7" w:hRule="atLeast"/>
        </w:trPr>
        <w:tc>
          <w:tcPr>
            <w:tcW w:w="36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D03C3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28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3BD2A0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Zemaljskom poštom ili osobno do </w:t>
            </w:r>
            <w:r>
              <w:rPr>
                <w:rFonts w:hint="default" w:asciiTheme="minorHAnsi" w:hAnsiTheme="minorHAnsi" w:cstheme="minorHAnsi"/>
                <w:sz w:val="18"/>
                <w:szCs w:val="18"/>
                <w:lang w:val="hr-HR"/>
              </w:rPr>
              <w:t xml:space="preserve">16.02.2026. </w:t>
            </w:r>
            <w:r>
              <w:rPr>
                <w:sz w:val="18"/>
              </w:rPr>
              <w:t xml:space="preserve">godine do </w:t>
            </w:r>
            <w:r>
              <w:rPr>
                <w:rFonts w:hint="default"/>
                <w:sz w:val="18"/>
                <w:lang w:val="hr-HR"/>
              </w:rPr>
              <w:t>14:00</w:t>
            </w:r>
            <w:r>
              <w:rPr>
                <w:sz w:val="18"/>
              </w:rPr>
              <w:t xml:space="preserve"> sati.</w:t>
            </w:r>
          </w:p>
          <w:p w14:paraId="5C161E10">
            <w:pPr>
              <w:spacing w:after="0" w:line="259" w:lineRule="auto"/>
              <w:ind w:left="0" w:firstLine="0"/>
            </w:pPr>
          </w:p>
        </w:tc>
      </w:tr>
      <w:tr w14:paraId="10D5D098">
        <w:tblPrEx>
          <w:tblCellMar>
            <w:top w:w="68" w:type="dxa"/>
            <w:left w:w="80" w:type="dxa"/>
            <w:bottom w:w="0" w:type="dxa"/>
            <w:right w:w="77" w:type="dxa"/>
          </w:tblCellMar>
        </w:tblPrEx>
        <w:trPr>
          <w:trHeight w:val="345" w:hRule="atLeast"/>
        </w:trPr>
        <w:tc>
          <w:tcPr>
            <w:tcW w:w="366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309F7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1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616C91">
            <w:pPr>
              <w:spacing w:after="0" w:line="259" w:lineRule="auto"/>
              <w:ind w:left="0" w:firstLine="0"/>
              <w:rPr>
                <w:rFonts w:hint="default"/>
                <w:lang w:val="hr-HR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default"/>
                <w:sz w:val="18"/>
                <w:lang w:val="hr-HR"/>
              </w:rPr>
              <w:t>20.02.2026.</w:t>
            </w:r>
          </w:p>
        </w:tc>
        <w:tc>
          <w:tcPr>
            <w:tcW w:w="613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8EF190">
            <w:pPr>
              <w:spacing w:after="0" w:line="259" w:lineRule="auto"/>
              <w:ind w:left="0" w:firstLine="90" w:firstLineChars="50"/>
              <w:jc w:val="both"/>
            </w:pPr>
            <w:r>
              <w:rPr>
                <w:rFonts w:hint="default"/>
                <w:sz w:val="18"/>
                <w:lang w:val="hr-HR"/>
              </w:rPr>
              <w:t xml:space="preserve">u 12:00 </w:t>
            </w:r>
            <w:r>
              <w:rPr>
                <w:sz w:val="18"/>
              </w:rPr>
              <w:t xml:space="preserve"> sati</w:t>
            </w:r>
          </w:p>
        </w:tc>
      </w:tr>
    </w:tbl>
    <w:p w14:paraId="75B0224B">
      <w:pPr>
        <w:spacing w:after="14" w:line="259" w:lineRule="auto"/>
        <w:ind w:left="408" w:firstLine="0"/>
      </w:pPr>
      <w:r>
        <w:t xml:space="preserve"> </w:t>
      </w:r>
    </w:p>
    <w:p w14:paraId="0120979A">
      <w:pPr>
        <w:ind w:left="-5"/>
      </w:pPr>
      <w:r>
        <w:t>1. Prije potpisivanja ugovora za ponudu odabrani davatelj usluga dužan je dostavi ili da školi na uvid:</w:t>
      </w:r>
    </w:p>
    <w:p w14:paraId="5A64A844">
      <w:pPr>
        <w:numPr>
          <w:ilvl w:val="0"/>
          <w:numId w:val="1"/>
        </w:numPr>
      </w:pPr>
      <w:r>
        <w:t>dokaz o registraciji (preslika izvatka iz sudskog ili obrtnog registra) iz kojeg je razvidno da je davatelj usluga registriran za obavljanje djelatnost turističke agencije,</w:t>
      </w:r>
    </w:p>
    <w:p w14:paraId="629810D1">
      <w:pPr>
        <w:numPr>
          <w:ilvl w:val="0"/>
          <w:numId w:val="1"/>
        </w:numPr>
      </w:pPr>
      <w:r>
        <w:t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 aranžmanu, organizaciji izleta, sklapanje i provedba ugovora o izletu ili uvid u popis turističkih agencija koje na svojim mrežnim stranicama objavljuje ministarstvo nadležno za turizam).</w:t>
      </w:r>
    </w:p>
    <w:p w14:paraId="7ECA1E9A">
      <w:pPr>
        <w:ind w:left="-5"/>
      </w:pPr>
      <w:r>
        <w:t>2. Mjesec dana prije realizacije ugovora odabrani davatelj usluga dužan je dostavi ili da školi na uvid:</w:t>
      </w:r>
    </w:p>
    <w:p w14:paraId="2B0503BD">
      <w:pPr>
        <w:numPr>
          <w:ilvl w:val="0"/>
          <w:numId w:val="2"/>
        </w:numPr>
      </w:pPr>
      <w:r>
        <w:t>dokaz o osiguranju jamčevine za slučaj nesolventnosti (za višednevnu ekskurziju ili višednevnu terensku nastavu),</w:t>
      </w:r>
    </w:p>
    <w:p w14:paraId="7A6D44FF">
      <w:pPr>
        <w:numPr>
          <w:ilvl w:val="0"/>
          <w:numId w:val="2"/>
        </w:numPr>
      </w:pPr>
      <w:r>
        <w:t>dokaz o osiguranju od odgovornosti za štetu koju turistička agencija prouzroči neispunjenjem, djelomičnim ispunjenjem ili neurednim ispunjenjem obveza iz paket-aranžmana (preslika polica).</w:t>
      </w:r>
    </w:p>
    <w:p w14:paraId="4CFCD496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1A745257">
      <w:pPr>
        <w:spacing w:after="44" w:line="259" w:lineRule="auto"/>
        <w:ind w:left="0" w:firstLine="0"/>
      </w:pPr>
      <w:r>
        <w:t>Napomena:</w:t>
      </w:r>
    </w:p>
    <w:p w14:paraId="7B8790E5">
      <w:pPr>
        <w:ind w:left="-5"/>
      </w:pPr>
      <w:r>
        <w:t>1) Pristigle ponude trebaju sadržava i u cijenu uključivati :</w:t>
      </w:r>
    </w:p>
    <w:p w14:paraId="1ACE915D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>
      <w:pPr>
        <w:numPr>
          <w:ilvl w:val="0"/>
          <w:numId w:val="3"/>
        </w:numPr>
        <w:ind w:hanging="253"/>
      </w:pPr>
      <w:r>
        <w:t>osiguranje odgovornost i jamčevine.</w:t>
      </w:r>
    </w:p>
    <w:p w14:paraId="23BA3172">
      <w:pPr>
        <w:ind w:left="-5"/>
      </w:pPr>
      <w:r>
        <w:t>2) Ponude trebaju bi :</w:t>
      </w:r>
    </w:p>
    <w:p w14:paraId="3907A913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ugostiteljske djelatnosti ili sukladno posebnim propisima,</w:t>
      </w:r>
    </w:p>
    <w:p w14:paraId="75EE1364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 smije upisa naziv objekta u kojemu se pružaju usluge smještaja sukladno posebnome propisu kojim se uređuje obavljanje ugostiteljske djelatnosti (npr. hotela, hostela i dr.).</w:t>
      </w:r>
    </w:p>
    <w:p w14:paraId="60AFF68D">
      <w:pPr>
        <w:numPr>
          <w:ilvl w:val="0"/>
          <w:numId w:val="5"/>
        </w:numPr>
        <w:ind w:hanging="249"/>
      </w:pPr>
      <w:r>
        <w:t>Potencijalni davatelj usluga ne može dopisivati i nuditi dodatne pogodnosti.</w:t>
      </w:r>
    </w:p>
    <w:p w14:paraId="364A2C67">
      <w:pPr>
        <w:numPr>
          <w:ilvl w:val="0"/>
          <w:numId w:val="0"/>
        </w:numPr>
        <w:spacing w:after="42" w:line="233" w:lineRule="auto"/>
      </w:pPr>
    </w:p>
    <w:p w14:paraId="68EB6172">
      <w:pPr>
        <w:numPr>
          <w:ilvl w:val="0"/>
          <w:numId w:val="0"/>
        </w:numPr>
        <w:spacing w:after="42" w:line="233" w:lineRule="auto"/>
      </w:pPr>
    </w:p>
    <w:p w14:paraId="51262C0F">
      <w:pPr>
        <w:numPr>
          <w:ilvl w:val="0"/>
          <w:numId w:val="0"/>
        </w:numPr>
        <w:spacing w:after="42" w:line="233" w:lineRule="auto"/>
        <w:rPr>
          <w:rFonts w:hint="default"/>
          <w:lang w:val="hr-HR"/>
        </w:rPr>
      </w:pPr>
      <w:r>
        <w:rPr>
          <w:rFonts w:hint="default"/>
          <w:lang w:val="hr-HR"/>
        </w:rPr>
        <w:t>KLASA: 601-01/26-11/02</w:t>
      </w:r>
    </w:p>
    <w:p w14:paraId="595F4CDC">
      <w:pPr>
        <w:numPr>
          <w:ilvl w:val="0"/>
          <w:numId w:val="0"/>
        </w:numPr>
        <w:spacing w:after="42" w:line="233" w:lineRule="auto"/>
        <w:rPr>
          <w:rFonts w:hint="default"/>
          <w:lang w:val="hr-HR"/>
        </w:rPr>
      </w:pPr>
      <w:r>
        <w:rPr>
          <w:rFonts w:hint="default"/>
          <w:lang w:val="hr-HR"/>
        </w:rPr>
        <w:t>URBROJ: 2109-33-01-26-2</w:t>
      </w:r>
    </w:p>
    <w:p w14:paraId="32BE9606">
      <w:pPr>
        <w:numPr>
          <w:ilvl w:val="0"/>
          <w:numId w:val="0"/>
        </w:numPr>
        <w:spacing w:after="42" w:line="233" w:lineRule="auto"/>
        <w:rPr>
          <w:rFonts w:hint="default"/>
          <w:lang w:val="hr-HR"/>
        </w:rPr>
      </w:pPr>
    </w:p>
    <w:p w14:paraId="2D3D5B7A">
      <w:pPr>
        <w:numPr>
          <w:ilvl w:val="0"/>
          <w:numId w:val="0"/>
        </w:numPr>
        <w:spacing w:after="42" w:line="233" w:lineRule="auto"/>
        <w:rPr>
          <w:rFonts w:hint="default"/>
          <w:lang w:val="hr-HR"/>
        </w:rPr>
      </w:pPr>
    </w:p>
    <w:p w14:paraId="307D97FD">
      <w:pPr>
        <w:numPr>
          <w:ilvl w:val="0"/>
          <w:numId w:val="0"/>
        </w:numPr>
        <w:spacing w:after="42" w:line="233" w:lineRule="auto"/>
        <w:rPr>
          <w:rFonts w:hint="default"/>
          <w:lang w:val="hr-HR"/>
        </w:rPr>
      </w:pPr>
      <w:r>
        <w:rPr>
          <w:rFonts w:hint="default"/>
          <w:lang w:val="hr-HR"/>
        </w:rPr>
        <w:t xml:space="preserve">                                                                                Povjerenstvo za terensku nastavu Škola u prirodi</w:t>
      </w:r>
    </w:p>
    <w:sectPr>
      <w:pgSz w:w="11899" w:h="16838"/>
      <w:pgMar w:top="603" w:right="677" w:bottom="639" w:left="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33" w:lineRule="auto"/>
      </w:pPr>
      <w:r>
        <w:separator/>
      </w:r>
    </w:p>
  </w:footnote>
  <w:footnote w:type="continuationSeparator" w:id="1">
    <w:p>
      <w:pPr>
        <w:spacing w:before="0" w:after="0" w:line="23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E1308"/>
    <w:multiLevelType w:val="multilevel"/>
    <w:tmpl w:val="00CE1308"/>
    <w:lvl w:ilvl="0" w:tentative="0">
      <w:start w:val="1"/>
      <w:numFmt w:val="lowerLetter"/>
      <w:lvlText w:val="%1)"/>
      <w:lvlJc w:val="left"/>
      <w:pPr>
        <w:ind w:left="25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1A6E3621"/>
    <w:multiLevelType w:val="multilevel"/>
    <w:tmpl w:val="1A6E3621"/>
    <w:lvl w:ilvl="0" w:tentative="0">
      <w:start w:val="1"/>
      <w:numFmt w:val="lowerLetter"/>
      <w:lvlText w:val="%1)"/>
      <w:lvlJc w:val="left"/>
      <w:pPr>
        <w:ind w:left="1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46DC39AE"/>
    <w:multiLevelType w:val="multilevel"/>
    <w:tmpl w:val="46DC39AE"/>
    <w:lvl w:ilvl="0" w:tentative="0">
      <w:start w:val="1"/>
      <w:numFmt w:val="lowerLetter"/>
      <w:lvlText w:val="%1)"/>
      <w:lvlJc w:val="left"/>
      <w:pPr>
        <w:ind w:left="1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5EF5178D"/>
    <w:multiLevelType w:val="multilevel"/>
    <w:tmpl w:val="5EF5178D"/>
    <w:lvl w:ilvl="0" w:tentative="0">
      <w:start w:val="1"/>
      <w:numFmt w:val="lowerLetter"/>
      <w:lvlText w:val="%1)"/>
      <w:lvlJc w:val="left"/>
      <w:pPr>
        <w:ind w:left="25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7706008D"/>
    <w:multiLevelType w:val="multilevel"/>
    <w:tmpl w:val="7706008D"/>
    <w:lvl w:ilvl="0" w:tentative="0">
      <w:start w:val="3"/>
      <w:numFmt w:val="decimal"/>
      <w:lvlText w:val="%1)"/>
      <w:lvlJc w:val="left"/>
      <w:pPr>
        <w:ind w:left="24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DE"/>
    <w:rsid w:val="0028783B"/>
    <w:rsid w:val="002A5E90"/>
    <w:rsid w:val="002D533F"/>
    <w:rsid w:val="003F667F"/>
    <w:rsid w:val="00497CB0"/>
    <w:rsid w:val="004B3B1D"/>
    <w:rsid w:val="00912281"/>
    <w:rsid w:val="00B87B4B"/>
    <w:rsid w:val="00D027B8"/>
    <w:rsid w:val="00F266DE"/>
    <w:rsid w:val="00FD1AC7"/>
    <w:rsid w:val="141674BD"/>
    <w:rsid w:val="2323734E"/>
    <w:rsid w:val="782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2" w:line="233" w:lineRule="auto"/>
      <w:ind w:left="10" w:hanging="10"/>
    </w:pPr>
    <w:rPr>
      <w:rFonts w:ascii="Calibri" w:hAnsi="Calibri" w:eastAsia="Calibri" w:cs="Calibri"/>
      <w:color w:val="000000"/>
      <w:sz w:val="24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746</Words>
  <Characters>4255</Characters>
  <Lines>35</Lines>
  <Paragraphs>9</Paragraphs>
  <TotalTime>16</TotalTime>
  <ScaleCrop>false</ScaleCrop>
  <LinksUpToDate>false</LinksUpToDate>
  <CharactersWithSpaces>4992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2025-02-03T13:45:00Z</dcterms:created>
  <dc:creator>Tajnica</dc:creator>
  <cp:lastModifiedBy>ivana lukavečki</cp:lastModifiedBy>
  <dcterms:modified xsi:type="dcterms:W3CDTF">2026-02-06T12:13:27Z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DA5331D639F848E3A548AE68BBA2710E_12</vt:lpwstr>
  </property>
</Properties>
</file>