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DF3" w:rsidRPr="002C1F65" w:rsidRDefault="00232DF3" w:rsidP="00232DF3">
      <w:pPr>
        <w:jc w:val="both"/>
        <w:rPr>
          <w:rFonts w:asciiTheme="majorHAnsi" w:hAnsiTheme="majorHAnsi"/>
        </w:rPr>
      </w:pPr>
      <w:r w:rsidRPr="002C1F65">
        <w:rPr>
          <w:rFonts w:asciiTheme="majorHAnsi" w:hAnsiTheme="majorHAnsi"/>
          <w:noProof/>
        </w:rPr>
        <mc:AlternateContent>
          <mc:Choice Requires="wps">
            <w:drawing>
              <wp:anchor distT="45720" distB="45720" distL="114300" distR="114300" simplePos="0" relativeHeight="251657216" behindDoc="1" locked="0" layoutInCell="1" allowOverlap="1">
                <wp:simplePos x="0" y="0"/>
                <wp:positionH relativeFrom="margin">
                  <wp:posOffset>-404495</wp:posOffset>
                </wp:positionH>
                <wp:positionV relativeFrom="paragraph">
                  <wp:posOffset>5080</wp:posOffset>
                </wp:positionV>
                <wp:extent cx="3057525" cy="1552575"/>
                <wp:effectExtent l="0" t="0" r="9525" b="9525"/>
                <wp:wrapNone/>
                <wp:docPr id="6"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52575"/>
                        </a:xfrm>
                        <a:prstGeom prst="rect">
                          <a:avLst/>
                        </a:prstGeom>
                        <a:solidFill>
                          <a:srgbClr val="FFFFFF"/>
                        </a:solidFill>
                        <a:ln w="9525">
                          <a:noFill/>
                          <a:miter lim="800000"/>
                          <a:headEnd/>
                          <a:tailEnd/>
                        </a:ln>
                      </wps:spPr>
                      <wps:txbx>
                        <w:txbxContent>
                          <w:p w:rsidR="00232DF3" w:rsidRDefault="00232DF3" w:rsidP="00232DF3">
                            <w:pPr>
                              <w:spacing w:after="0"/>
                              <w:jc w:val="center"/>
                              <w:rPr>
                                <w:b/>
                              </w:rPr>
                            </w:pPr>
                            <w:r>
                              <w:rPr>
                                <w:b/>
                              </w:rPr>
                              <w:t>REPUBLIKA HRVATSKA</w:t>
                            </w:r>
                          </w:p>
                          <w:p w:rsidR="00232DF3" w:rsidRDefault="00232DF3" w:rsidP="00232DF3">
                            <w:pPr>
                              <w:spacing w:after="0"/>
                              <w:jc w:val="center"/>
                              <w:rPr>
                                <w:b/>
                              </w:rPr>
                            </w:pPr>
                            <w:r>
                              <w:rPr>
                                <w:b/>
                              </w:rPr>
                              <w:t>GRAD ČAKOVEC</w:t>
                            </w:r>
                          </w:p>
                          <w:p w:rsidR="00232DF3" w:rsidRDefault="00232DF3" w:rsidP="00232DF3">
                            <w:pPr>
                              <w:spacing w:after="0"/>
                              <w:jc w:val="center"/>
                              <w:rPr>
                                <w:b/>
                                <w:sz w:val="28"/>
                                <w:szCs w:val="28"/>
                              </w:rPr>
                            </w:pPr>
                            <w:r>
                              <w:rPr>
                                <w:b/>
                                <w:sz w:val="28"/>
                                <w:szCs w:val="28"/>
                              </w:rPr>
                              <w:t>OSNOVNA ŠKOLA KURŠANEC</w:t>
                            </w:r>
                          </w:p>
                          <w:p w:rsidR="00232DF3" w:rsidRDefault="00232DF3" w:rsidP="00232DF3">
                            <w:pPr>
                              <w:spacing w:after="0"/>
                              <w:jc w:val="center"/>
                              <w:rPr>
                                <w:b/>
                              </w:rPr>
                            </w:pPr>
                            <w:r>
                              <w:rPr>
                                <w:b/>
                              </w:rPr>
                              <w:t>Kuršanec, Glavna 15, 40000 Čakovec</w:t>
                            </w:r>
                          </w:p>
                          <w:p w:rsidR="00232DF3" w:rsidRDefault="00232DF3" w:rsidP="00232DF3">
                            <w:pPr>
                              <w:spacing w:after="0"/>
                              <w:jc w:val="center"/>
                              <w:rPr>
                                <w:b/>
                              </w:rPr>
                            </w:pPr>
                            <w:r>
                              <w:rPr>
                                <w:b/>
                              </w:rPr>
                              <w:t>OIB:</w:t>
                            </w:r>
                            <w:r w:rsidR="00EF1E54">
                              <w:rPr>
                                <w:b/>
                              </w:rPr>
                              <w:t xml:space="preserve"> </w:t>
                            </w:r>
                            <w:r>
                              <w:rPr>
                                <w:b/>
                              </w:rPr>
                              <w:t>60845884456</w:t>
                            </w:r>
                          </w:p>
                          <w:p w:rsidR="00232DF3" w:rsidRDefault="003B4797" w:rsidP="00232DF3">
                            <w:pPr>
                              <w:jc w:val="center"/>
                            </w:pPr>
                            <w:r>
                              <w:t>20.2.2025.g.</w:t>
                            </w:r>
                          </w:p>
                          <w:p w:rsidR="00232DF3" w:rsidRDefault="00232DF3" w:rsidP="00232DF3">
                            <w:pPr>
                              <w:spacing w:after="0"/>
                              <w:jc w:val="center"/>
                              <w:rPr>
                                <w:b/>
                              </w:rPr>
                            </w:pPr>
                          </w:p>
                          <w:p w:rsidR="00232DF3" w:rsidRDefault="00232DF3" w:rsidP="00232DF3">
                            <w:pPr>
                              <w:spacing w:after="0"/>
                              <w:jc w:val="center"/>
                              <w:rPr>
                                <w:b/>
                              </w:rPr>
                            </w:pPr>
                          </w:p>
                          <w:p w:rsidR="00232DF3" w:rsidRDefault="00232DF3" w:rsidP="00232DF3">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6" o:spid="_x0000_s1026" type="#_x0000_t202" style="position:absolute;left:0;text-align:left;margin-left:-31.85pt;margin-top:.4pt;width:240.75pt;height:12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NqJAIAACEEAAAOAAAAZHJzL2Uyb0RvYy54bWysU9tu2zAMfR+wfxD0vtjJ4rQ14hRdugwD&#10;ugvQ7gNkWY6FSKImKbGzry8lp2m2vQ3zg0Ca5NHhIbW8HbQiB+G8BFPR6SSnRBgOjTTbiv542ry7&#10;psQHZhqmwIiKHoWnt6u3b5a9LcUMOlCNcARBjC97W9EuBFtmmeed0MxPwAqDwRacZgFdt80ax3pE&#10;1yqb5fki68E11gEX3uPf+zFIVwm/bQUP39rWi0BURZFbSKdLZx3PbLVk5dYx20l+osH+gYVm0uCl&#10;Z6h7FhjZO/kXlJbcgYc2TDjoDNpWcpF6wG6m+R/dPHbMitQLiuPtWSb//2D518N3R2RT0QUlhmkc&#10;0ZPY+WAkgd1BOrKIEvXWl5j5aDE3DB9gwFGndr19AL7zxMC6Y2Yr7pyDvhOsQYrTWJldlI44PoLU&#10;/Rdo8C62D5CAhtbpqB8qQhAdR3U8j0cMgXD8+T4vropZQQnH2LRA86pId7Dypdw6Hz4J0CQaFXU4&#10;/wTPDg8+RDqsfEmJt3lQstlIpZLjtvVaOXJguCub9J3Qf0tThvQVvYlEYpWBWJ/WSMuAu6ykruh1&#10;Hr9Yzsoox0fTJDswqUYbmShz0idKMooThnrAxChaDc0RlXIw7iy+MTQ6cL8o6XFfK+p/7pkTlKjP&#10;BtW+mc7nccGTMy+uZui4y0h9GWGGI1RFAyWjuQ7pUYwd3eFUWpn0emVy4op7mGQ8vZm46Jd+ynp9&#10;2atnAAAA//8DAFBLAwQUAAYACAAAACEAwafMKt0AAAAIAQAADwAAAGRycy9kb3ducmV2LnhtbEyP&#10;QU+DQBCF7yb+h82YeDHt0paCIkOjJhqvrf0BA2yByM4Sdlvov3c86W1e3sub7+W72fbqYkbfOUZY&#10;LSNQhitXd9wgHL/eF4+gfCCuqXdsEK7Gw664vckpq93Ee3M5hEZJCfuMENoQhkxrX7XGkl+6wbB4&#10;JzdaCiLHRtcjTVJue72OokRb6lg+tDSYt9ZU34ezRTh9Tg/bp6n8CMd0Hyev1KWluyLe380vz6CC&#10;mcNfGH7xBR0KYSrdmWuveoRFskkliiADxI5XqRwlwjrebkAXuf4/oPgBAAD//wMAUEsBAi0AFAAG&#10;AAgAAAAhALaDOJL+AAAA4QEAABMAAAAAAAAAAAAAAAAAAAAAAFtDb250ZW50X1R5cGVzXS54bWxQ&#10;SwECLQAUAAYACAAAACEAOP0h/9YAAACUAQAACwAAAAAAAAAAAAAAAAAvAQAAX3JlbHMvLnJlbHNQ&#10;SwECLQAUAAYACAAAACEA1aDzaiQCAAAhBAAADgAAAAAAAAAAAAAAAAAuAgAAZHJzL2Uyb0RvYy54&#10;bWxQSwECLQAUAAYACAAAACEAwafMKt0AAAAIAQAADwAAAAAAAAAAAAAAAAB+BAAAZHJzL2Rvd25y&#10;ZXYueG1sUEsFBgAAAAAEAAQA8wAAAIgFAAAAAA==&#10;" stroked="f">
                <v:textbox>
                  <w:txbxContent>
                    <w:p w:rsidR="00232DF3" w:rsidRDefault="00232DF3" w:rsidP="00232DF3">
                      <w:pPr>
                        <w:spacing w:after="0"/>
                        <w:jc w:val="center"/>
                        <w:rPr>
                          <w:b/>
                        </w:rPr>
                      </w:pPr>
                      <w:r>
                        <w:rPr>
                          <w:b/>
                        </w:rPr>
                        <w:t>REPUBLIKA HRVATSKA</w:t>
                      </w:r>
                    </w:p>
                    <w:p w:rsidR="00232DF3" w:rsidRDefault="00232DF3" w:rsidP="00232DF3">
                      <w:pPr>
                        <w:spacing w:after="0"/>
                        <w:jc w:val="center"/>
                        <w:rPr>
                          <w:b/>
                        </w:rPr>
                      </w:pPr>
                      <w:r>
                        <w:rPr>
                          <w:b/>
                        </w:rPr>
                        <w:t>GRAD ČAKOVEC</w:t>
                      </w:r>
                    </w:p>
                    <w:p w:rsidR="00232DF3" w:rsidRDefault="00232DF3" w:rsidP="00232DF3">
                      <w:pPr>
                        <w:spacing w:after="0"/>
                        <w:jc w:val="center"/>
                        <w:rPr>
                          <w:b/>
                          <w:sz w:val="28"/>
                          <w:szCs w:val="28"/>
                        </w:rPr>
                      </w:pPr>
                      <w:r>
                        <w:rPr>
                          <w:b/>
                          <w:sz w:val="28"/>
                          <w:szCs w:val="28"/>
                        </w:rPr>
                        <w:t>OSNOVNA ŠKOLA KURŠANEC</w:t>
                      </w:r>
                    </w:p>
                    <w:p w:rsidR="00232DF3" w:rsidRDefault="00232DF3" w:rsidP="00232DF3">
                      <w:pPr>
                        <w:spacing w:after="0"/>
                        <w:jc w:val="center"/>
                        <w:rPr>
                          <w:b/>
                        </w:rPr>
                      </w:pPr>
                      <w:r>
                        <w:rPr>
                          <w:b/>
                        </w:rPr>
                        <w:t>Kuršanec, Glavna 15, 40000 Čakovec</w:t>
                      </w:r>
                    </w:p>
                    <w:p w:rsidR="00232DF3" w:rsidRDefault="00232DF3" w:rsidP="00232DF3">
                      <w:pPr>
                        <w:spacing w:after="0"/>
                        <w:jc w:val="center"/>
                        <w:rPr>
                          <w:b/>
                        </w:rPr>
                      </w:pPr>
                      <w:r>
                        <w:rPr>
                          <w:b/>
                        </w:rPr>
                        <w:t>OIB:</w:t>
                      </w:r>
                      <w:r w:rsidR="00EF1E54">
                        <w:rPr>
                          <w:b/>
                        </w:rPr>
                        <w:t xml:space="preserve"> </w:t>
                      </w:r>
                      <w:r>
                        <w:rPr>
                          <w:b/>
                        </w:rPr>
                        <w:t>60845884456</w:t>
                      </w:r>
                    </w:p>
                    <w:p w:rsidR="00232DF3" w:rsidRDefault="003B4797" w:rsidP="00232DF3">
                      <w:pPr>
                        <w:jc w:val="center"/>
                      </w:pPr>
                      <w:r>
                        <w:t>20.2.2025.g.</w:t>
                      </w:r>
                    </w:p>
                    <w:p w:rsidR="00232DF3" w:rsidRDefault="00232DF3" w:rsidP="00232DF3">
                      <w:pPr>
                        <w:spacing w:after="0"/>
                        <w:jc w:val="center"/>
                        <w:rPr>
                          <w:b/>
                        </w:rPr>
                      </w:pPr>
                    </w:p>
                    <w:p w:rsidR="00232DF3" w:rsidRDefault="00232DF3" w:rsidP="00232DF3">
                      <w:pPr>
                        <w:spacing w:after="0"/>
                        <w:jc w:val="center"/>
                        <w:rPr>
                          <w:b/>
                        </w:rPr>
                      </w:pPr>
                    </w:p>
                    <w:p w:rsidR="00232DF3" w:rsidRDefault="00232DF3" w:rsidP="00232DF3">
                      <w:pPr>
                        <w:rPr>
                          <w:b/>
                        </w:rPr>
                      </w:pPr>
                    </w:p>
                  </w:txbxContent>
                </v:textbox>
                <w10:wrap anchorx="margin"/>
              </v:shape>
            </w:pict>
          </mc:Fallback>
        </mc:AlternateContent>
      </w:r>
      <w:r w:rsidRPr="002C1F65">
        <w:rPr>
          <w:rFonts w:asciiTheme="majorHAnsi" w:hAnsiTheme="majorHAnsi"/>
          <w:noProof/>
        </w:rPr>
        <w:drawing>
          <wp:anchor distT="0" distB="0" distL="114300" distR="114300" simplePos="0" relativeHeight="251658240" behindDoc="0" locked="0" layoutInCell="1" allowOverlap="1">
            <wp:simplePos x="0" y="0"/>
            <wp:positionH relativeFrom="margin">
              <wp:posOffset>833120</wp:posOffset>
            </wp:positionH>
            <wp:positionV relativeFrom="paragraph">
              <wp:posOffset>-752475</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grb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232DF3" w:rsidRPr="002C1F65" w:rsidRDefault="00232DF3" w:rsidP="00232DF3">
      <w:pPr>
        <w:jc w:val="both"/>
        <w:rPr>
          <w:rFonts w:asciiTheme="majorHAnsi" w:hAnsiTheme="majorHAnsi"/>
        </w:rPr>
      </w:pPr>
    </w:p>
    <w:p w:rsidR="00232DF3" w:rsidRPr="002C1F65" w:rsidRDefault="00232DF3" w:rsidP="00232DF3">
      <w:pPr>
        <w:spacing w:after="0"/>
        <w:jc w:val="both"/>
        <w:rPr>
          <w:rFonts w:asciiTheme="majorHAnsi" w:hAnsiTheme="majorHAnsi"/>
          <w:b/>
        </w:rPr>
      </w:pPr>
    </w:p>
    <w:p w:rsidR="00232DF3" w:rsidRPr="002C1F65" w:rsidRDefault="00232DF3" w:rsidP="00232DF3">
      <w:pPr>
        <w:spacing w:after="0"/>
        <w:jc w:val="both"/>
        <w:rPr>
          <w:rFonts w:asciiTheme="majorHAnsi" w:hAnsiTheme="majorHAnsi"/>
          <w:b/>
        </w:rPr>
      </w:pPr>
    </w:p>
    <w:p w:rsidR="00232DF3" w:rsidRPr="002C1F65" w:rsidRDefault="00232DF3" w:rsidP="00232DF3">
      <w:pPr>
        <w:spacing w:after="0"/>
        <w:jc w:val="both"/>
        <w:rPr>
          <w:rFonts w:asciiTheme="majorHAnsi" w:hAnsiTheme="majorHAnsi"/>
          <w:b/>
        </w:rPr>
      </w:pPr>
    </w:p>
    <w:p w:rsidR="00232DF3" w:rsidRPr="002C1F65" w:rsidRDefault="00232DF3" w:rsidP="00232DF3">
      <w:pPr>
        <w:spacing w:after="0"/>
        <w:jc w:val="both"/>
        <w:rPr>
          <w:rFonts w:asciiTheme="majorHAnsi" w:hAnsiTheme="majorHAnsi"/>
          <w:b/>
        </w:rPr>
      </w:pPr>
    </w:p>
    <w:p w:rsidR="00232DF3" w:rsidRPr="002C1F65" w:rsidRDefault="00232DF3" w:rsidP="00232DF3">
      <w:pPr>
        <w:spacing w:after="0"/>
        <w:jc w:val="both"/>
        <w:rPr>
          <w:rFonts w:asciiTheme="majorHAnsi" w:hAnsiTheme="majorHAnsi"/>
          <w:b/>
        </w:rPr>
      </w:pPr>
    </w:p>
    <w:p w:rsidR="00232DF3" w:rsidRPr="002C1F65" w:rsidRDefault="00232DF3" w:rsidP="00123117">
      <w:pPr>
        <w:spacing w:after="0"/>
        <w:jc w:val="center"/>
        <w:rPr>
          <w:rFonts w:asciiTheme="majorHAnsi" w:hAnsiTheme="majorHAnsi"/>
          <w:sz w:val="32"/>
          <w:szCs w:val="32"/>
        </w:rPr>
      </w:pPr>
      <w:r w:rsidRPr="002C1F65">
        <w:rPr>
          <w:rFonts w:asciiTheme="majorHAnsi" w:hAnsiTheme="majorHAnsi"/>
          <w:sz w:val="32"/>
          <w:szCs w:val="32"/>
        </w:rPr>
        <w:t>Obrazloženje uz izvršenje financijskog plana za razdoblje</w:t>
      </w:r>
    </w:p>
    <w:p w:rsidR="00232DF3" w:rsidRPr="002C1F65" w:rsidRDefault="00232DF3" w:rsidP="00123117">
      <w:pPr>
        <w:spacing w:after="0"/>
        <w:jc w:val="center"/>
        <w:rPr>
          <w:rFonts w:asciiTheme="majorHAnsi" w:hAnsiTheme="majorHAnsi"/>
          <w:sz w:val="32"/>
          <w:szCs w:val="32"/>
        </w:rPr>
      </w:pPr>
      <w:r w:rsidRPr="002C1F65">
        <w:rPr>
          <w:rFonts w:asciiTheme="majorHAnsi" w:hAnsiTheme="majorHAnsi"/>
          <w:sz w:val="32"/>
          <w:szCs w:val="32"/>
        </w:rPr>
        <w:t>od 1.1.202</w:t>
      </w:r>
      <w:r w:rsidR="00C61A74" w:rsidRPr="002C1F65">
        <w:rPr>
          <w:rFonts w:asciiTheme="majorHAnsi" w:hAnsiTheme="majorHAnsi"/>
          <w:sz w:val="32"/>
          <w:szCs w:val="32"/>
        </w:rPr>
        <w:t>5</w:t>
      </w:r>
      <w:r w:rsidRPr="002C1F65">
        <w:rPr>
          <w:rFonts w:asciiTheme="majorHAnsi" w:hAnsiTheme="majorHAnsi"/>
          <w:sz w:val="32"/>
          <w:szCs w:val="32"/>
        </w:rPr>
        <w:t xml:space="preserve">. do </w:t>
      </w:r>
      <w:r w:rsidR="00C61A74" w:rsidRPr="002C1F65">
        <w:rPr>
          <w:rFonts w:asciiTheme="majorHAnsi" w:hAnsiTheme="majorHAnsi"/>
          <w:sz w:val="32"/>
          <w:szCs w:val="32"/>
        </w:rPr>
        <w:t>3</w:t>
      </w:r>
      <w:r w:rsidR="003B4797">
        <w:rPr>
          <w:rFonts w:asciiTheme="majorHAnsi" w:hAnsiTheme="majorHAnsi"/>
          <w:sz w:val="32"/>
          <w:szCs w:val="32"/>
        </w:rPr>
        <w:t>1</w:t>
      </w:r>
      <w:r w:rsidRPr="002C1F65">
        <w:rPr>
          <w:rFonts w:asciiTheme="majorHAnsi" w:hAnsiTheme="majorHAnsi"/>
          <w:sz w:val="32"/>
          <w:szCs w:val="32"/>
        </w:rPr>
        <w:t>.</w:t>
      </w:r>
      <w:r w:rsidR="003B4797">
        <w:rPr>
          <w:rFonts w:asciiTheme="majorHAnsi" w:hAnsiTheme="majorHAnsi"/>
          <w:sz w:val="32"/>
          <w:szCs w:val="32"/>
        </w:rPr>
        <w:t>12</w:t>
      </w:r>
      <w:r w:rsidR="00C61A74" w:rsidRPr="002C1F65">
        <w:rPr>
          <w:rFonts w:asciiTheme="majorHAnsi" w:hAnsiTheme="majorHAnsi"/>
          <w:sz w:val="32"/>
          <w:szCs w:val="32"/>
        </w:rPr>
        <w:t>.</w:t>
      </w:r>
      <w:r w:rsidRPr="002C1F65">
        <w:rPr>
          <w:rFonts w:asciiTheme="majorHAnsi" w:hAnsiTheme="majorHAnsi"/>
          <w:sz w:val="32"/>
          <w:szCs w:val="32"/>
        </w:rPr>
        <w:t>202</w:t>
      </w:r>
      <w:r w:rsidR="00C61A74" w:rsidRPr="002C1F65">
        <w:rPr>
          <w:rFonts w:asciiTheme="majorHAnsi" w:hAnsiTheme="majorHAnsi"/>
          <w:sz w:val="32"/>
          <w:szCs w:val="32"/>
        </w:rPr>
        <w:t>5</w:t>
      </w:r>
      <w:r w:rsidRPr="002C1F65">
        <w:rPr>
          <w:rFonts w:asciiTheme="majorHAnsi" w:hAnsiTheme="majorHAnsi"/>
          <w:sz w:val="32"/>
          <w:szCs w:val="32"/>
        </w:rPr>
        <w:t>. godine</w:t>
      </w:r>
    </w:p>
    <w:p w:rsidR="00232DF3" w:rsidRPr="002C1F65" w:rsidRDefault="00232DF3" w:rsidP="00123117">
      <w:pPr>
        <w:spacing w:after="0"/>
        <w:jc w:val="both"/>
        <w:rPr>
          <w:rFonts w:asciiTheme="majorHAnsi" w:hAnsiTheme="majorHAnsi"/>
          <w:szCs w:val="32"/>
        </w:rPr>
      </w:pPr>
    </w:p>
    <w:p w:rsidR="00232DF3" w:rsidRPr="002C1F65" w:rsidRDefault="00232DF3" w:rsidP="00123117">
      <w:pPr>
        <w:spacing w:after="0"/>
        <w:jc w:val="both"/>
        <w:rPr>
          <w:rFonts w:asciiTheme="majorHAnsi" w:hAnsiTheme="majorHAnsi"/>
          <w:szCs w:val="32"/>
        </w:rPr>
      </w:pPr>
      <w:r w:rsidRPr="002C1F65">
        <w:rPr>
          <w:rFonts w:asciiTheme="majorHAnsi" w:hAnsiTheme="majorHAnsi"/>
          <w:szCs w:val="32"/>
        </w:rPr>
        <w:t xml:space="preserve">Osnovna škola </w:t>
      </w:r>
      <w:proofErr w:type="spellStart"/>
      <w:r w:rsidRPr="002C1F65">
        <w:rPr>
          <w:rFonts w:asciiTheme="majorHAnsi" w:hAnsiTheme="majorHAnsi"/>
          <w:szCs w:val="32"/>
        </w:rPr>
        <w:t>Kuršanec</w:t>
      </w:r>
      <w:proofErr w:type="spellEnd"/>
      <w:r w:rsidRPr="002C1F65">
        <w:rPr>
          <w:rFonts w:asciiTheme="majorHAnsi" w:hAnsiTheme="majorHAnsi"/>
          <w:szCs w:val="32"/>
        </w:rPr>
        <w:t xml:space="preserve"> javna je ustanova čija je osnovna djelatnost uređena Zakonom o odgoju i obrazovanju u osnovnoj i srednjoj školi i Statutom Osnovne škole </w:t>
      </w:r>
      <w:proofErr w:type="spellStart"/>
      <w:r w:rsidRPr="002C1F65">
        <w:rPr>
          <w:rFonts w:asciiTheme="majorHAnsi" w:hAnsiTheme="majorHAnsi"/>
          <w:szCs w:val="32"/>
        </w:rPr>
        <w:t>Kuršanec</w:t>
      </w:r>
      <w:proofErr w:type="spellEnd"/>
      <w:r w:rsidRPr="002C1F65">
        <w:rPr>
          <w:rFonts w:asciiTheme="majorHAnsi" w:hAnsiTheme="majorHAnsi"/>
          <w:szCs w:val="32"/>
        </w:rPr>
        <w:t xml:space="preserve">, a osnivač škole je Grad Čakovec, Škola djeluje od 1999. godine kao samostalna ustanova. </w:t>
      </w:r>
    </w:p>
    <w:p w:rsidR="00BD6002" w:rsidRPr="002C1F65" w:rsidRDefault="00BD6002" w:rsidP="00123117">
      <w:pPr>
        <w:spacing w:after="0"/>
        <w:jc w:val="both"/>
        <w:rPr>
          <w:rFonts w:asciiTheme="majorHAnsi" w:hAnsiTheme="majorHAnsi"/>
          <w:szCs w:val="32"/>
        </w:rPr>
      </w:pPr>
    </w:p>
    <w:p w:rsidR="00232DF3" w:rsidRPr="002C1F65" w:rsidRDefault="00232DF3" w:rsidP="00232DF3">
      <w:pPr>
        <w:spacing w:after="0"/>
        <w:jc w:val="center"/>
        <w:rPr>
          <w:rFonts w:asciiTheme="majorHAnsi" w:hAnsiTheme="majorHAnsi"/>
        </w:rPr>
      </w:pPr>
    </w:p>
    <w:p w:rsidR="005356E1" w:rsidRPr="004F69CD" w:rsidRDefault="00C61A74" w:rsidP="00AE6D26">
      <w:pPr>
        <w:spacing w:after="0"/>
        <w:jc w:val="both"/>
        <w:rPr>
          <w:rFonts w:asciiTheme="majorHAnsi" w:hAnsiTheme="majorHAnsi"/>
        </w:rPr>
      </w:pPr>
      <w:r w:rsidRPr="004F69CD">
        <w:rPr>
          <w:rFonts w:asciiTheme="majorHAnsi" w:hAnsiTheme="majorHAnsi"/>
        </w:rPr>
        <w:t>OBRAZLOŽENJE OPĆEG DIJELA IZVJEŠTAJA</w:t>
      </w:r>
    </w:p>
    <w:p w:rsidR="00C61A74" w:rsidRPr="002C1F65" w:rsidRDefault="00C61A74" w:rsidP="00AE6D26">
      <w:pPr>
        <w:spacing w:after="0"/>
        <w:jc w:val="both"/>
        <w:rPr>
          <w:rFonts w:asciiTheme="majorHAnsi" w:hAnsiTheme="majorHAnsi"/>
          <w:i/>
        </w:rPr>
      </w:pPr>
    </w:p>
    <w:p w:rsidR="00C61A74" w:rsidRPr="002C1F65" w:rsidRDefault="00C61A74" w:rsidP="00AE6D26">
      <w:pPr>
        <w:spacing w:after="0"/>
        <w:jc w:val="both"/>
        <w:rPr>
          <w:rFonts w:asciiTheme="majorHAnsi" w:hAnsiTheme="majorHAnsi"/>
          <w:i/>
        </w:rPr>
      </w:pPr>
      <w:r w:rsidRPr="002C1F65">
        <w:rPr>
          <w:rFonts w:asciiTheme="majorHAnsi" w:hAnsiTheme="majorHAnsi"/>
          <w:i/>
        </w:rPr>
        <w:t>1. Obrazloženje makroekonomskih pokazatelja</w:t>
      </w:r>
      <w:r w:rsidR="00A06B47">
        <w:rPr>
          <w:rFonts w:asciiTheme="majorHAnsi" w:hAnsiTheme="majorHAnsi"/>
          <w:i/>
        </w:rPr>
        <w:t xml:space="preserve"> i njihovog utjecaja na poslovanje OŠ </w:t>
      </w:r>
      <w:proofErr w:type="spellStart"/>
      <w:r w:rsidR="00A06B47">
        <w:rPr>
          <w:rFonts w:asciiTheme="majorHAnsi" w:hAnsiTheme="majorHAnsi"/>
          <w:i/>
        </w:rPr>
        <w:t>Kuršanec</w:t>
      </w:r>
      <w:proofErr w:type="spellEnd"/>
    </w:p>
    <w:p w:rsidR="002C1F65" w:rsidRPr="002C1F65" w:rsidRDefault="002C1F65" w:rsidP="002C1F65">
      <w:pPr>
        <w:pStyle w:val="StandardWeb"/>
        <w:jc w:val="both"/>
        <w:rPr>
          <w:rFonts w:asciiTheme="majorHAnsi" w:hAnsiTheme="majorHAnsi" w:cstheme="majorHAnsi"/>
        </w:rPr>
      </w:pPr>
      <w:r w:rsidRPr="002C1F65">
        <w:rPr>
          <w:rFonts w:asciiTheme="majorHAnsi" w:hAnsiTheme="majorHAnsi" w:cstheme="majorHAnsi"/>
        </w:rPr>
        <w:t xml:space="preserve">Tijekom razdoblja od 1. siječnja do </w:t>
      </w:r>
      <w:r w:rsidR="003B4797">
        <w:rPr>
          <w:rFonts w:asciiTheme="majorHAnsi" w:hAnsiTheme="majorHAnsi" w:cstheme="majorHAnsi"/>
        </w:rPr>
        <w:t>31. siječnja</w:t>
      </w:r>
      <w:r w:rsidRPr="002C1F65">
        <w:rPr>
          <w:rFonts w:asciiTheme="majorHAnsi" w:hAnsiTheme="majorHAnsi" w:cstheme="majorHAnsi"/>
        </w:rPr>
        <w:t xml:space="preserve"> 2025. izvršenje financijskog plana Osnovne škole </w:t>
      </w:r>
      <w:proofErr w:type="spellStart"/>
      <w:r w:rsidRPr="002C1F65">
        <w:rPr>
          <w:rFonts w:asciiTheme="majorHAnsi" w:hAnsiTheme="majorHAnsi" w:cstheme="majorHAnsi"/>
        </w:rPr>
        <w:t>Kuršanec</w:t>
      </w:r>
      <w:proofErr w:type="spellEnd"/>
      <w:r w:rsidRPr="002C1F65">
        <w:rPr>
          <w:rFonts w:asciiTheme="majorHAnsi" w:hAnsiTheme="majorHAnsi" w:cstheme="majorHAnsi"/>
        </w:rPr>
        <w:t xml:space="preserve"> bilo je djelomično pod utjecajem šireg makroekonomskog okruženja. U prvom polugodištu 2025. godine zabilježeni su sljedeći faktori koji su utjecali na  kako prihodovnu tako i rashodovnu stranu proračuna:</w:t>
      </w:r>
    </w:p>
    <w:p w:rsidR="002C1F65" w:rsidRPr="002C1F65" w:rsidRDefault="002C1F65" w:rsidP="002C1F65">
      <w:pPr>
        <w:pStyle w:val="StandardWeb"/>
        <w:numPr>
          <w:ilvl w:val="0"/>
          <w:numId w:val="6"/>
        </w:numPr>
        <w:jc w:val="both"/>
        <w:rPr>
          <w:rFonts w:asciiTheme="majorHAnsi" w:hAnsiTheme="majorHAnsi" w:cstheme="majorHAnsi"/>
        </w:rPr>
      </w:pPr>
      <w:r w:rsidRPr="002C1F65">
        <w:rPr>
          <w:rStyle w:val="Naglaeno"/>
          <w:rFonts w:asciiTheme="majorHAnsi" w:hAnsiTheme="majorHAnsi" w:cstheme="majorHAnsi"/>
          <w:b w:val="0"/>
        </w:rPr>
        <w:t>Opći rast cijena – cijene dobara i usluga i dalje su pod utjecajem inflacije na razini opće države</w:t>
      </w:r>
    </w:p>
    <w:p w:rsidR="002C1F65" w:rsidRPr="002C1F65" w:rsidRDefault="002C1F65" w:rsidP="002C1F65">
      <w:pPr>
        <w:pStyle w:val="StandardWeb"/>
        <w:numPr>
          <w:ilvl w:val="0"/>
          <w:numId w:val="6"/>
        </w:numPr>
        <w:jc w:val="both"/>
        <w:rPr>
          <w:rFonts w:asciiTheme="majorHAnsi" w:hAnsiTheme="majorHAnsi" w:cstheme="majorHAnsi"/>
        </w:rPr>
      </w:pPr>
      <w:r w:rsidRPr="002C1F65">
        <w:rPr>
          <w:rStyle w:val="Naglaeno"/>
          <w:rFonts w:asciiTheme="majorHAnsi" w:hAnsiTheme="majorHAnsi" w:cstheme="majorHAnsi"/>
          <w:b w:val="0"/>
        </w:rPr>
        <w:t>Povećanje plaća</w:t>
      </w:r>
      <w:r w:rsidRPr="002C1F65">
        <w:rPr>
          <w:rFonts w:asciiTheme="majorHAnsi" w:hAnsiTheme="majorHAnsi" w:cstheme="majorHAnsi"/>
        </w:rPr>
        <w:t xml:space="preserve"> </w:t>
      </w:r>
      <w:r w:rsidR="004F69CD">
        <w:rPr>
          <w:rFonts w:asciiTheme="majorHAnsi" w:hAnsiTheme="majorHAnsi" w:cstheme="majorHAnsi"/>
        </w:rPr>
        <w:t xml:space="preserve"> -</w:t>
      </w:r>
      <w:r w:rsidR="00064DF5">
        <w:rPr>
          <w:rFonts w:asciiTheme="majorHAnsi" w:hAnsiTheme="majorHAnsi" w:cstheme="majorHAnsi"/>
        </w:rPr>
        <w:t xml:space="preserve"> </w:t>
      </w:r>
      <w:r w:rsidRPr="002C1F65">
        <w:rPr>
          <w:rFonts w:asciiTheme="majorHAnsi" w:hAnsiTheme="majorHAnsi" w:cstheme="majorHAnsi"/>
        </w:rPr>
        <w:t>proizašlo je iz primjene važećih kolektivnih ugovora za zaposlenike u osnovnoškolskim ustanovama, što se odrazilo na rashode za zaposlene.</w:t>
      </w:r>
    </w:p>
    <w:p w:rsidR="002C1F65" w:rsidRPr="002C1F65" w:rsidRDefault="002C1F65" w:rsidP="002C1F65">
      <w:pPr>
        <w:pStyle w:val="StandardWeb"/>
        <w:jc w:val="both"/>
        <w:rPr>
          <w:rFonts w:asciiTheme="majorHAnsi" w:hAnsiTheme="majorHAnsi" w:cstheme="majorHAnsi"/>
        </w:rPr>
      </w:pPr>
      <w:r w:rsidRPr="002C1F65">
        <w:rPr>
          <w:rFonts w:asciiTheme="majorHAnsi" w:hAnsiTheme="majorHAnsi" w:cstheme="majorHAnsi"/>
        </w:rPr>
        <w:t>Financiranje iz državnog i lokalnog proračuna bilo je stabilno, uz pravovremene isplate sredstava za redovno poslovanje škole. Djelomičan utjecaj imala je i promjena dobavljačkih cijena u kontekstu globalne i nacionalne ekonomske dinamike.</w:t>
      </w:r>
      <w:r>
        <w:rPr>
          <w:rFonts w:asciiTheme="majorHAnsi" w:hAnsiTheme="majorHAnsi" w:cstheme="majorHAnsi"/>
        </w:rPr>
        <w:t xml:space="preserve"> </w:t>
      </w:r>
      <w:r w:rsidRPr="002C1F65">
        <w:rPr>
          <w:rFonts w:asciiTheme="majorHAnsi" w:hAnsiTheme="majorHAnsi" w:cstheme="majorHAnsi"/>
        </w:rPr>
        <w:t>Svi navedeni čimbenici uzeti su u obzir prilikom izvršenja financijskog plana, a škola je prilagodila svoje rashode unutar zakonskih i financijskih mogućnosti, vodeći računa o racionalnom i učinkovitom trošenju sredstava.</w:t>
      </w:r>
    </w:p>
    <w:p w:rsidR="005F1A60" w:rsidRDefault="003B4797">
      <w:pPr>
        <w:spacing w:line="259" w:lineRule="auto"/>
        <w:rPr>
          <w:rFonts w:asciiTheme="majorHAnsi" w:hAnsiTheme="majorHAnsi"/>
        </w:rPr>
      </w:pPr>
      <w:r>
        <w:rPr>
          <w:rFonts w:asciiTheme="majorHAnsi" w:hAnsiTheme="majorHAnsi"/>
        </w:rPr>
        <w:t>Planirani prihodi u 20</w:t>
      </w:r>
      <w:r w:rsidR="005F1A60">
        <w:rPr>
          <w:rFonts w:asciiTheme="majorHAnsi" w:hAnsiTheme="majorHAnsi"/>
        </w:rPr>
        <w:t>25. godini iznosili su 3.010.327,00 eura, dok su realizirani prihodi iznosili 2.904.450,01 eura što je samo 3,5% manje nego li je planirano. U odnosu na izvršenje 2024. (2.520.857,27 eura) godine izvršeni prihodi u 2025. uvećani su za  15,22%</w:t>
      </w:r>
      <w:r w:rsidR="00ED1407">
        <w:rPr>
          <w:rFonts w:asciiTheme="majorHAnsi" w:hAnsiTheme="majorHAnsi"/>
        </w:rPr>
        <w:t xml:space="preserve"> </w:t>
      </w:r>
      <w:r w:rsidR="005F1A60">
        <w:rPr>
          <w:rFonts w:asciiTheme="majorHAnsi" w:hAnsiTheme="majorHAnsi"/>
        </w:rPr>
        <w:t>posto.</w:t>
      </w:r>
    </w:p>
    <w:p w:rsidR="005F1A60" w:rsidRDefault="005F1A60">
      <w:pPr>
        <w:spacing w:line="259" w:lineRule="auto"/>
        <w:rPr>
          <w:rFonts w:asciiTheme="majorHAnsi" w:hAnsiTheme="majorHAnsi"/>
        </w:rPr>
      </w:pPr>
      <w:r>
        <w:rPr>
          <w:rFonts w:asciiTheme="majorHAnsi" w:hAnsiTheme="majorHAnsi"/>
        </w:rPr>
        <w:t>Planirani rashodi u 2025. godini iznosili su 3.010.327,00 eura, dok su realizirani rashodi iznosili 3.090.338,61 eura</w:t>
      </w:r>
      <w:r w:rsidR="00ED1407">
        <w:rPr>
          <w:rFonts w:asciiTheme="majorHAnsi" w:hAnsiTheme="majorHAnsi"/>
        </w:rPr>
        <w:t xml:space="preserve"> što je uvećanje od 2,5%. U odnosu na izvršenje 2024. godine koje je iznosilo 2.554.456,05 eura, rashodi u 2025. uvećani su za 20,7%. </w:t>
      </w:r>
    </w:p>
    <w:p w:rsidR="00ED1407" w:rsidRDefault="00ED1407">
      <w:pPr>
        <w:spacing w:line="259" w:lineRule="auto"/>
        <w:rPr>
          <w:rFonts w:asciiTheme="majorHAnsi" w:hAnsiTheme="majorHAnsi"/>
        </w:rPr>
      </w:pPr>
      <w:r>
        <w:rPr>
          <w:rFonts w:asciiTheme="majorHAnsi" w:hAnsiTheme="majorHAnsi"/>
        </w:rPr>
        <w:lastRenderedPageBreak/>
        <w:t xml:space="preserve">Preneseni rezultat iz 2024. iznosi -11.589,55 eura, dok rezultat tekuće godine iznosi -185.888,60 eura, te ukupni manjak, odnosno rezultat 2025. iznosi -197.478,15 eura, što je rezultat evidentiranja plaće za 12. mjesec 2025. kao rashod klase 3.  </w:t>
      </w:r>
    </w:p>
    <w:p w:rsidR="00B82930" w:rsidRDefault="00B82930">
      <w:pPr>
        <w:spacing w:line="259" w:lineRule="auto"/>
        <w:rPr>
          <w:rFonts w:asciiTheme="majorHAnsi" w:hAnsiTheme="majorHAnsi"/>
        </w:rPr>
      </w:pPr>
    </w:p>
    <w:p w:rsidR="00AE6D26" w:rsidRPr="002C1F65" w:rsidRDefault="00AE6D26" w:rsidP="00AE6D26">
      <w:pPr>
        <w:spacing w:after="0"/>
        <w:jc w:val="both"/>
        <w:rPr>
          <w:rFonts w:asciiTheme="majorHAnsi" w:hAnsiTheme="majorHAnsi"/>
        </w:rPr>
      </w:pPr>
    </w:p>
    <w:p w:rsidR="00AE6D26" w:rsidRPr="002C1F65" w:rsidRDefault="004F69CD" w:rsidP="00AE6D26">
      <w:pPr>
        <w:spacing w:after="0"/>
        <w:jc w:val="both"/>
        <w:rPr>
          <w:rFonts w:asciiTheme="majorHAnsi" w:hAnsiTheme="majorHAnsi"/>
          <w:i/>
        </w:rPr>
      </w:pPr>
      <w:r>
        <w:rPr>
          <w:rFonts w:asciiTheme="majorHAnsi" w:hAnsiTheme="majorHAnsi"/>
          <w:i/>
        </w:rPr>
        <w:t xml:space="preserve">2. </w:t>
      </w:r>
      <w:r w:rsidRPr="004F69CD">
        <w:rPr>
          <w:rFonts w:asciiTheme="majorHAnsi" w:hAnsiTheme="majorHAnsi"/>
          <w:i/>
        </w:rPr>
        <w:t xml:space="preserve"> Obrazloženje ostvarenja prihoda i rashoda</w:t>
      </w:r>
      <w:r>
        <w:rPr>
          <w:rFonts w:asciiTheme="majorHAnsi" w:hAnsiTheme="majorHAnsi"/>
          <w:i/>
        </w:rPr>
        <w:t>, p</w:t>
      </w:r>
      <w:r w:rsidRPr="004F69CD">
        <w:rPr>
          <w:rFonts w:asciiTheme="majorHAnsi" w:hAnsiTheme="majorHAnsi"/>
          <w:i/>
        </w:rPr>
        <w:t>rimitaka i izdataka</w:t>
      </w:r>
    </w:p>
    <w:p w:rsidR="005356E1" w:rsidRPr="002C1F65" w:rsidRDefault="005356E1" w:rsidP="00123117">
      <w:pPr>
        <w:spacing w:after="0"/>
        <w:rPr>
          <w:rFonts w:asciiTheme="majorHAnsi" w:hAnsiTheme="majorHAnsi"/>
          <w:sz w:val="32"/>
          <w:szCs w:val="32"/>
        </w:rPr>
      </w:pPr>
    </w:p>
    <w:p w:rsidR="004F360B" w:rsidRPr="002C1F65" w:rsidRDefault="004F360B" w:rsidP="00123117">
      <w:pPr>
        <w:spacing w:after="0"/>
        <w:rPr>
          <w:rFonts w:asciiTheme="majorHAnsi" w:hAnsiTheme="majorHAnsi"/>
          <w:i/>
          <w:sz w:val="18"/>
          <w:szCs w:val="32"/>
        </w:rPr>
      </w:pPr>
      <w:r w:rsidRPr="002C1F65">
        <w:rPr>
          <w:rFonts w:asciiTheme="majorHAnsi" w:hAnsiTheme="majorHAnsi"/>
          <w:i/>
          <w:sz w:val="18"/>
          <w:szCs w:val="32"/>
        </w:rPr>
        <w:t xml:space="preserve">Tab.1 </w:t>
      </w:r>
      <w:r w:rsidR="00DD36DA">
        <w:rPr>
          <w:rFonts w:asciiTheme="majorHAnsi" w:hAnsiTheme="majorHAnsi"/>
          <w:i/>
          <w:sz w:val="18"/>
          <w:szCs w:val="32"/>
        </w:rPr>
        <w:t>PRIHODI POSLOVANJA PREMA EKONOMSKOJ KLASIFIKACIJI</w:t>
      </w:r>
    </w:p>
    <w:p w:rsidR="00DD36DA" w:rsidRPr="00DD36DA" w:rsidRDefault="00DD36DA" w:rsidP="00DD36DA">
      <w:pPr>
        <w:spacing w:before="100" w:beforeAutospacing="1" w:after="100" w:afterAutospacing="1" w:line="240" w:lineRule="auto"/>
        <w:rPr>
          <w:rFonts w:asciiTheme="majorHAnsi" w:eastAsia="Times New Roman" w:hAnsiTheme="majorHAnsi"/>
          <w:noProof/>
          <w:lang w:eastAsia="hr-HR"/>
        </w:rPr>
      </w:pPr>
      <w:r w:rsidRPr="00DD36DA">
        <w:rPr>
          <w:rFonts w:asciiTheme="majorHAnsi" w:eastAsia="Times New Roman" w:hAnsiTheme="majorHAnsi"/>
          <w:noProof/>
          <w:lang w:eastAsia="hr-HR"/>
        </w:rPr>
        <w:drawing>
          <wp:inline distT="0" distB="0" distL="0" distR="0">
            <wp:extent cx="5760720" cy="2066925"/>
            <wp:effectExtent l="19050" t="19050" r="11430" b="28575"/>
            <wp:docPr id="2" name="Slika 2" descr="C:\Users\Admin\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066925"/>
                    </a:xfrm>
                    <a:prstGeom prst="rect">
                      <a:avLst/>
                    </a:prstGeom>
                    <a:noFill/>
                    <a:ln>
                      <a:solidFill>
                        <a:schemeClr val="tx1"/>
                      </a:solidFill>
                    </a:ln>
                    <a:effectLst>
                      <a:softEdge rad="0"/>
                    </a:effectLst>
                  </pic:spPr>
                </pic:pic>
              </a:graphicData>
            </a:graphic>
          </wp:inline>
        </w:drawing>
      </w:r>
    </w:p>
    <w:p w:rsidR="00A537F9" w:rsidRPr="004F69CD" w:rsidRDefault="00A06B47" w:rsidP="00B328E2">
      <w:pPr>
        <w:spacing w:before="100" w:beforeAutospacing="1" w:after="100" w:afterAutospacing="1" w:line="240" w:lineRule="auto"/>
        <w:rPr>
          <w:rFonts w:asciiTheme="majorHAnsi" w:eastAsia="Times New Roman" w:hAnsiTheme="majorHAnsi"/>
          <w:lang w:eastAsia="hr-HR"/>
        </w:rPr>
      </w:pPr>
      <w:r w:rsidRPr="004F69CD">
        <w:rPr>
          <w:rFonts w:asciiTheme="majorHAnsi" w:eastAsia="Times New Roman" w:hAnsiTheme="majorHAnsi"/>
          <w:lang w:eastAsia="hr-HR"/>
        </w:rPr>
        <w:t xml:space="preserve">Prihodi </w:t>
      </w:r>
      <w:r w:rsidR="00A537F9" w:rsidRPr="004F69CD">
        <w:rPr>
          <w:rFonts w:asciiTheme="majorHAnsi" w:eastAsia="Times New Roman" w:hAnsiTheme="majorHAnsi"/>
          <w:lang w:eastAsia="hr-HR"/>
        </w:rPr>
        <w:t xml:space="preserve"> i rashodi </w:t>
      </w:r>
      <w:r w:rsidRPr="004F69CD">
        <w:rPr>
          <w:rFonts w:asciiTheme="majorHAnsi" w:eastAsia="Times New Roman" w:hAnsiTheme="majorHAnsi"/>
          <w:lang w:eastAsia="hr-HR"/>
        </w:rPr>
        <w:t>iz nadležnog proračuna</w:t>
      </w:r>
      <w:r w:rsidR="00575135">
        <w:rPr>
          <w:rFonts w:asciiTheme="majorHAnsi" w:eastAsia="Times New Roman" w:hAnsiTheme="majorHAnsi"/>
          <w:lang w:eastAsia="hr-HR"/>
        </w:rPr>
        <w:t xml:space="preserve"> 67</w:t>
      </w:r>
    </w:p>
    <w:p w:rsidR="00A06B47" w:rsidRDefault="00A537F9" w:rsidP="00A537F9">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 xml:space="preserve">Prihodi </w:t>
      </w:r>
      <w:r w:rsidR="00A06B47">
        <w:rPr>
          <w:rFonts w:asciiTheme="majorHAnsi" w:eastAsia="Times New Roman" w:hAnsiTheme="majorHAnsi"/>
          <w:lang w:eastAsia="hr-HR"/>
        </w:rPr>
        <w:t xml:space="preserve"> od osnivača, Grada Čakovca</w:t>
      </w:r>
      <w:r>
        <w:rPr>
          <w:rFonts w:asciiTheme="majorHAnsi" w:eastAsia="Times New Roman" w:hAnsiTheme="majorHAnsi"/>
          <w:lang w:eastAsia="hr-HR"/>
        </w:rPr>
        <w:t>,</w:t>
      </w:r>
      <w:r w:rsidR="00DD36DA">
        <w:rPr>
          <w:rFonts w:asciiTheme="majorHAnsi" w:eastAsia="Times New Roman" w:hAnsiTheme="majorHAnsi"/>
          <w:lang w:eastAsia="hr-HR"/>
        </w:rPr>
        <w:t xml:space="preserve"> u 2025. iznose 224.315,74 eura i</w:t>
      </w:r>
      <w:r w:rsidR="00A06B47">
        <w:rPr>
          <w:rFonts w:asciiTheme="majorHAnsi" w:eastAsia="Times New Roman" w:hAnsiTheme="majorHAnsi"/>
          <w:lang w:eastAsia="hr-HR"/>
        </w:rPr>
        <w:t xml:space="preserve"> uvećani su </w:t>
      </w:r>
      <w:r w:rsidR="00DD36DA">
        <w:rPr>
          <w:rFonts w:asciiTheme="majorHAnsi" w:eastAsia="Times New Roman" w:hAnsiTheme="majorHAnsi"/>
          <w:lang w:eastAsia="hr-HR"/>
        </w:rPr>
        <w:t xml:space="preserve">u 2025. u odnosu na 2024. za 8,5. </w:t>
      </w:r>
      <w:r w:rsidR="00A06B47">
        <w:rPr>
          <w:rFonts w:asciiTheme="majorHAnsi" w:eastAsia="Times New Roman" w:hAnsiTheme="majorHAnsi"/>
          <w:lang w:eastAsia="hr-HR"/>
        </w:rPr>
        <w:t>Prvenstveno, uvećani su prihodi za decentralizirane funkcije škole, što je pridonijelo redovitom i kvalitetnom održavanju objekta</w:t>
      </w:r>
      <w:r w:rsidR="000E47E9">
        <w:rPr>
          <w:rFonts w:asciiTheme="majorHAnsi" w:eastAsia="Times New Roman" w:hAnsiTheme="majorHAnsi"/>
          <w:lang w:eastAsia="hr-HR"/>
        </w:rPr>
        <w:t xml:space="preserve">, </w:t>
      </w:r>
      <w:r w:rsidR="00A06B47">
        <w:rPr>
          <w:rFonts w:asciiTheme="majorHAnsi" w:eastAsia="Times New Roman" w:hAnsiTheme="majorHAnsi"/>
          <w:lang w:eastAsia="hr-HR"/>
        </w:rPr>
        <w:t xml:space="preserve"> modernizaciji opreme škole</w:t>
      </w:r>
      <w:r w:rsidR="000E47E9">
        <w:rPr>
          <w:rFonts w:asciiTheme="majorHAnsi" w:eastAsia="Times New Roman" w:hAnsiTheme="majorHAnsi"/>
          <w:lang w:eastAsia="hr-HR"/>
        </w:rPr>
        <w:t xml:space="preserve"> što rezultira ugodnijim boravkom u školi kako za učenike tako i za djelatnike škole.</w:t>
      </w:r>
      <w:r w:rsidR="00370717">
        <w:rPr>
          <w:rFonts w:asciiTheme="majorHAnsi" w:eastAsia="Times New Roman" w:hAnsiTheme="majorHAnsi"/>
          <w:lang w:eastAsia="hr-HR"/>
        </w:rPr>
        <w:t xml:space="preserve"> Rashodi materijalnih troškova u najvećoj mjeri se odnose na rashode za energiju, materijal za čišćenje i održavanje, sitni inventar škole, komunalne usluge koje su značajno poskupile, te intelektualne usluge, primjerice usluge psihologa za ispitivanja djece, s obzirom da škola ne zapošljava psihologa</w:t>
      </w:r>
      <w:r w:rsidR="00DD36DA">
        <w:rPr>
          <w:rFonts w:asciiTheme="majorHAnsi" w:eastAsia="Times New Roman" w:hAnsiTheme="majorHAnsi"/>
          <w:lang w:eastAsia="hr-HR"/>
        </w:rPr>
        <w:t xml:space="preserve"> u 2025. godini.</w:t>
      </w:r>
      <w:r w:rsidR="00370717">
        <w:rPr>
          <w:rFonts w:asciiTheme="majorHAnsi" w:eastAsia="Times New Roman" w:hAnsiTheme="majorHAnsi"/>
          <w:lang w:eastAsia="hr-HR"/>
        </w:rPr>
        <w:t xml:space="preserve"> </w:t>
      </w:r>
      <w:r w:rsidR="004F69CD">
        <w:rPr>
          <w:rFonts w:asciiTheme="majorHAnsi" w:eastAsia="Times New Roman" w:hAnsiTheme="majorHAnsi"/>
          <w:lang w:eastAsia="hr-HR"/>
        </w:rPr>
        <w:t xml:space="preserve"> </w:t>
      </w:r>
      <w:r w:rsidR="000E47E9">
        <w:rPr>
          <w:rFonts w:asciiTheme="majorHAnsi" w:eastAsia="Times New Roman" w:hAnsiTheme="majorHAnsi"/>
          <w:lang w:eastAsia="hr-HR"/>
        </w:rPr>
        <w:t>Grad Čakovec, također, u većoj mjeri nego prethodnih godina financira plaću pomoćnike u nastavi za učenike.</w:t>
      </w:r>
      <w:r w:rsidR="00370717">
        <w:rPr>
          <w:rFonts w:asciiTheme="majorHAnsi" w:eastAsia="Times New Roman" w:hAnsiTheme="majorHAnsi"/>
          <w:lang w:eastAsia="hr-HR"/>
        </w:rPr>
        <w:t xml:space="preserve"> Rashodi za pomoćnike odnose se na redovan rad pomoćnike, te materijalna prava poput </w:t>
      </w:r>
      <w:proofErr w:type="spellStart"/>
      <w:r w:rsidR="00370717">
        <w:rPr>
          <w:rFonts w:asciiTheme="majorHAnsi" w:eastAsia="Times New Roman" w:hAnsiTheme="majorHAnsi"/>
          <w:lang w:eastAsia="hr-HR"/>
        </w:rPr>
        <w:t>uskrsnice</w:t>
      </w:r>
      <w:proofErr w:type="spellEnd"/>
      <w:r w:rsidR="00370717">
        <w:rPr>
          <w:rFonts w:asciiTheme="majorHAnsi" w:eastAsia="Times New Roman" w:hAnsiTheme="majorHAnsi"/>
          <w:lang w:eastAsia="hr-HR"/>
        </w:rPr>
        <w:t xml:space="preserve"> i regresa s obzirom na to da se i na </w:t>
      </w:r>
      <w:r>
        <w:rPr>
          <w:rFonts w:asciiTheme="majorHAnsi" w:eastAsia="Times New Roman" w:hAnsiTheme="majorHAnsi"/>
          <w:lang w:eastAsia="hr-HR"/>
        </w:rPr>
        <w:t>pomoćnike</w:t>
      </w:r>
      <w:r w:rsidR="00370717">
        <w:rPr>
          <w:rFonts w:asciiTheme="majorHAnsi" w:eastAsia="Times New Roman" w:hAnsiTheme="majorHAnsi"/>
          <w:lang w:eastAsia="hr-HR"/>
        </w:rPr>
        <w:t xml:space="preserve"> u nastavi primjenjuju prava iz </w:t>
      </w:r>
      <w:r>
        <w:rPr>
          <w:rFonts w:asciiTheme="majorHAnsi" w:eastAsia="Times New Roman" w:hAnsiTheme="majorHAnsi"/>
          <w:lang w:eastAsia="hr-HR"/>
        </w:rPr>
        <w:t>važećih</w:t>
      </w:r>
      <w:r w:rsidR="00370717">
        <w:rPr>
          <w:rFonts w:asciiTheme="majorHAnsi" w:eastAsia="Times New Roman" w:hAnsiTheme="majorHAnsi"/>
          <w:lang w:eastAsia="hr-HR"/>
        </w:rPr>
        <w:t xml:space="preserve"> </w:t>
      </w:r>
      <w:r>
        <w:rPr>
          <w:rFonts w:asciiTheme="majorHAnsi" w:eastAsia="Times New Roman" w:hAnsiTheme="majorHAnsi"/>
          <w:lang w:eastAsia="hr-HR"/>
        </w:rPr>
        <w:t xml:space="preserve">kolektivnih u govora za zaposlenike u javnim službama. </w:t>
      </w:r>
      <w:r w:rsidR="000E47E9">
        <w:rPr>
          <w:rFonts w:asciiTheme="majorHAnsi" w:eastAsia="Times New Roman" w:hAnsiTheme="majorHAnsi"/>
          <w:lang w:eastAsia="hr-HR"/>
        </w:rPr>
        <w:t xml:space="preserve">  Projekt Građanski odgoj i </w:t>
      </w:r>
      <w:proofErr w:type="spellStart"/>
      <w:r w:rsidR="000E47E9">
        <w:rPr>
          <w:rFonts w:asciiTheme="majorHAnsi" w:eastAsia="Times New Roman" w:hAnsiTheme="majorHAnsi"/>
          <w:lang w:eastAsia="hr-HR"/>
        </w:rPr>
        <w:t>eTehničar</w:t>
      </w:r>
      <w:proofErr w:type="spellEnd"/>
      <w:r w:rsidR="000E47E9">
        <w:rPr>
          <w:rFonts w:asciiTheme="majorHAnsi" w:eastAsia="Times New Roman" w:hAnsiTheme="majorHAnsi"/>
          <w:lang w:eastAsia="hr-HR"/>
        </w:rPr>
        <w:t xml:space="preserve"> također je dio financiranja osnivača u 2025. godini</w:t>
      </w:r>
      <w:r>
        <w:rPr>
          <w:rFonts w:asciiTheme="majorHAnsi" w:eastAsia="Times New Roman" w:hAnsiTheme="majorHAnsi"/>
          <w:lang w:eastAsia="hr-HR"/>
        </w:rPr>
        <w:t xml:space="preserve">, a rashodi navedenih projekata odnose se na plaće učitelja koji provode građanski odgoj i na naknadu </w:t>
      </w:r>
      <w:proofErr w:type="spellStart"/>
      <w:r>
        <w:rPr>
          <w:rFonts w:asciiTheme="majorHAnsi" w:eastAsia="Times New Roman" w:hAnsiTheme="majorHAnsi"/>
          <w:lang w:eastAsia="hr-HR"/>
        </w:rPr>
        <w:t>eTehničaru</w:t>
      </w:r>
      <w:proofErr w:type="spellEnd"/>
      <w:r>
        <w:rPr>
          <w:rFonts w:asciiTheme="majorHAnsi" w:eastAsia="Times New Roman" w:hAnsiTheme="majorHAnsi"/>
          <w:lang w:eastAsia="hr-HR"/>
        </w:rPr>
        <w:t xml:space="preserve"> čiji je zadatak održavanje i briga o </w:t>
      </w:r>
      <w:proofErr w:type="spellStart"/>
      <w:r>
        <w:rPr>
          <w:rFonts w:asciiTheme="majorHAnsi" w:eastAsia="Times New Roman" w:hAnsiTheme="majorHAnsi"/>
          <w:lang w:eastAsia="hr-HR"/>
        </w:rPr>
        <w:t>Carnet</w:t>
      </w:r>
      <w:proofErr w:type="spellEnd"/>
      <w:r>
        <w:rPr>
          <w:rFonts w:asciiTheme="majorHAnsi" w:eastAsia="Times New Roman" w:hAnsiTheme="majorHAnsi"/>
          <w:lang w:eastAsia="hr-HR"/>
        </w:rPr>
        <w:t xml:space="preserve"> opremi. </w:t>
      </w:r>
    </w:p>
    <w:p w:rsidR="000E47E9" w:rsidRDefault="000E47E9" w:rsidP="00B328E2">
      <w:pPr>
        <w:spacing w:before="100" w:beforeAutospacing="1" w:after="100" w:afterAutospacing="1" w:line="240" w:lineRule="auto"/>
        <w:rPr>
          <w:rFonts w:asciiTheme="majorHAnsi" w:eastAsia="Times New Roman" w:hAnsiTheme="majorHAnsi"/>
          <w:lang w:eastAsia="hr-HR"/>
        </w:rPr>
      </w:pPr>
      <w:r w:rsidRPr="004F69CD">
        <w:rPr>
          <w:rFonts w:asciiTheme="majorHAnsi" w:eastAsia="Times New Roman" w:hAnsiTheme="majorHAnsi"/>
          <w:lang w:eastAsia="hr-HR"/>
        </w:rPr>
        <w:t>Prihodi</w:t>
      </w:r>
      <w:r w:rsidR="00A537F9" w:rsidRPr="004F69CD">
        <w:rPr>
          <w:rFonts w:asciiTheme="majorHAnsi" w:eastAsia="Times New Roman" w:hAnsiTheme="majorHAnsi"/>
          <w:lang w:eastAsia="hr-HR"/>
        </w:rPr>
        <w:t xml:space="preserve"> i rashodi</w:t>
      </w:r>
      <w:r w:rsidR="00755C98" w:rsidRPr="004F69CD">
        <w:rPr>
          <w:rFonts w:asciiTheme="majorHAnsi" w:eastAsia="Times New Roman" w:hAnsiTheme="majorHAnsi"/>
          <w:lang w:eastAsia="hr-HR"/>
        </w:rPr>
        <w:t xml:space="preserve"> iz inozemstva i subjekata unutar opće države</w:t>
      </w:r>
      <w:r w:rsidR="00575135">
        <w:rPr>
          <w:rFonts w:asciiTheme="majorHAnsi" w:eastAsia="Times New Roman" w:hAnsiTheme="majorHAnsi"/>
          <w:lang w:eastAsia="hr-HR"/>
        </w:rPr>
        <w:t xml:space="preserve"> 63</w:t>
      </w:r>
    </w:p>
    <w:p w:rsidR="00755C98" w:rsidRDefault="00575135" w:rsidP="00575135">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 xml:space="preserve">Navedeni prihodi u 2025. godini iznosili su 2.673.382,42 eura, što je povećanje od 15,8% u odnosu na 2024. godinu. </w:t>
      </w:r>
      <w:r w:rsidR="00755C98">
        <w:rPr>
          <w:rFonts w:asciiTheme="majorHAnsi" w:eastAsia="Times New Roman" w:hAnsiTheme="majorHAnsi"/>
          <w:lang w:eastAsia="hr-HR"/>
        </w:rPr>
        <w:t>Prihodi iz inozemstva, evidentirani na kontu 638, prethodnih godina predstavljali su prihode EU za pomoćnike u nastavi, dok se isti od 2025. evidentiraju na kontu 6393 čime je uvećan konto prihoda 6393, a smanjen konto prihoda na 638, odnosno sveden na nulu.  Prihodi subjekta opće države prvenstveno</w:t>
      </w:r>
      <w:r w:rsidR="00370717">
        <w:rPr>
          <w:rFonts w:asciiTheme="majorHAnsi" w:eastAsia="Times New Roman" w:hAnsiTheme="majorHAnsi"/>
          <w:lang w:eastAsia="hr-HR"/>
        </w:rPr>
        <w:t xml:space="preserve"> se odnose na prihode za plaće i materijalna </w:t>
      </w:r>
      <w:r w:rsidR="00370717">
        <w:rPr>
          <w:rFonts w:asciiTheme="majorHAnsi" w:eastAsia="Times New Roman" w:hAnsiTheme="majorHAnsi"/>
          <w:lang w:eastAsia="hr-HR"/>
        </w:rPr>
        <w:lastRenderedPageBreak/>
        <w:t>prava zaposlenika, uvećana u 2025. godini u odnosu na 2024. godinu radi povećanja osnovice i koeficijenata za obračun plaće, ali i zbog povećanja broja zaposlenika.</w:t>
      </w:r>
      <w:r w:rsidR="00A537F9">
        <w:rPr>
          <w:rFonts w:asciiTheme="majorHAnsi" w:eastAsia="Times New Roman" w:hAnsiTheme="majorHAnsi"/>
          <w:lang w:eastAsia="hr-HR"/>
        </w:rPr>
        <w:t xml:space="preserve"> Rashodi za plaće za lipanj 2025. ovog su izvještajnog razdoblja prikazani na kontu rashoda, razred 3, za razliku od prethodnih godina kada su se isti evidentirali na kontu 193. Iz tog razloga znatno su uvećani rashodi od prihoda, s obzirom da će prihodi za plaću 06/2025 biti evidentirani u mjesecu srpnju 2025. </w:t>
      </w:r>
      <w:r w:rsidR="00370717">
        <w:rPr>
          <w:rFonts w:asciiTheme="majorHAnsi" w:eastAsia="Times New Roman" w:hAnsiTheme="majorHAnsi"/>
          <w:lang w:eastAsia="hr-HR"/>
        </w:rPr>
        <w:t xml:space="preserve">  MZOM u 2025. godini financirao je i terensku nastavu za učenike pripadnike romske nacionalne manjine, baš kao i pribor, didaktiku i higijenske potrepštine  za učenike u posebnim razrednim odjelima. U 2025. godini na kontu prihoda 636 evidentirana su sredstva za nabavu udžbenika u 2024. godini, doznačena u siječnju 2025. Važna stavka prihoda od subjekata opće države odnosi se i na prihode za prehranu učenika</w:t>
      </w:r>
      <w:r w:rsidR="00A537F9">
        <w:rPr>
          <w:rFonts w:asciiTheme="majorHAnsi" w:eastAsia="Times New Roman" w:hAnsiTheme="majorHAnsi"/>
          <w:lang w:eastAsia="hr-HR"/>
        </w:rPr>
        <w:t xml:space="preserve"> čiji su rashodi raspoređeni na kontu 3222, namirnice</w:t>
      </w:r>
      <w:r w:rsidR="00370717">
        <w:rPr>
          <w:rFonts w:asciiTheme="majorHAnsi" w:eastAsia="Times New Roman" w:hAnsiTheme="majorHAnsi"/>
          <w:lang w:eastAsia="hr-HR"/>
        </w:rPr>
        <w:t xml:space="preserve">. Prihodi po posebnim propisima u OŠ </w:t>
      </w:r>
      <w:proofErr w:type="spellStart"/>
      <w:r w:rsidR="00370717">
        <w:rPr>
          <w:rFonts w:asciiTheme="majorHAnsi" w:eastAsia="Times New Roman" w:hAnsiTheme="majorHAnsi"/>
          <w:lang w:eastAsia="hr-HR"/>
        </w:rPr>
        <w:t>Kuršanec</w:t>
      </w:r>
      <w:proofErr w:type="spellEnd"/>
      <w:r w:rsidR="00370717">
        <w:rPr>
          <w:rFonts w:asciiTheme="majorHAnsi" w:eastAsia="Times New Roman" w:hAnsiTheme="majorHAnsi"/>
          <w:lang w:eastAsia="hr-HR"/>
        </w:rPr>
        <w:t xml:space="preserve"> podrazumijevaju prihode ostvarene od užine djelatnika, dok su rashodi spomenutih prihoda raspoređeni na namirnice za školsku kuhinju. </w:t>
      </w:r>
    </w:p>
    <w:p w:rsidR="00A537F9" w:rsidRDefault="00A537F9" w:rsidP="00370717">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Prihodi od donacija i prihodi od imovine</w:t>
      </w:r>
    </w:p>
    <w:p w:rsidR="00A537F9" w:rsidRPr="002C1F65" w:rsidRDefault="00A537F9" w:rsidP="00370717">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 xml:space="preserve">Međimurski školski sportski savez donirao je 550,00 eura OŠ </w:t>
      </w:r>
      <w:proofErr w:type="spellStart"/>
      <w:r>
        <w:rPr>
          <w:rFonts w:asciiTheme="majorHAnsi" w:eastAsia="Times New Roman" w:hAnsiTheme="majorHAnsi"/>
          <w:lang w:eastAsia="hr-HR"/>
        </w:rPr>
        <w:t>Kuršanec</w:t>
      </w:r>
      <w:proofErr w:type="spellEnd"/>
      <w:r>
        <w:rPr>
          <w:rFonts w:asciiTheme="majorHAnsi" w:eastAsia="Times New Roman" w:hAnsiTheme="majorHAnsi"/>
          <w:lang w:eastAsia="hr-HR"/>
        </w:rPr>
        <w:t xml:space="preserve"> za nabavu sportskih rekvizita, baš kao i u 2024. godini</w:t>
      </w:r>
      <w:r w:rsidR="00575135">
        <w:rPr>
          <w:rFonts w:asciiTheme="majorHAnsi" w:eastAsia="Times New Roman" w:hAnsiTheme="majorHAnsi"/>
          <w:lang w:eastAsia="hr-HR"/>
        </w:rPr>
        <w:t xml:space="preserve"> (500,00 eura)</w:t>
      </w:r>
      <w:r>
        <w:rPr>
          <w:rFonts w:asciiTheme="majorHAnsi" w:eastAsia="Times New Roman" w:hAnsiTheme="majorHAnsi"/>
          <w:lang w:eastAsia="hr-HR"/>
        </w:rPr>
        <w:t xml:space="preserve">. Isti su evidentirani na kontu 3225. Prihodi od imovine OŠ </w:t>
      </w:r>
      <w:proofErr w:type="spellStart"/>
      <w:r>
        <w:rPr>
          <w:rFonts w:asciiTheme="majorHAnsi" w:eastAsia="Times New Roman" w:hAnsiTheme="majorHAnsi"/>
          <w:lang w:eastAsia="hr-HR"/>
        </w:rPr>
        <w:t>Kuršanec</w:t>
      </w:r>
      <w:proofErr w:type="spellEnd"/>
      <w:r>
        <w:rPr>
          <w:rFonts w:asciiTheme="majorHAnsi" w:eastAsia="Times New Roman" w:hAnsiTheme="majorHAnsi"/>
          <w:lang w:eastAsia="hr-HR"/>
        </w:rPr>
        <w:t xml:space="preserve"> odnose se isključivo na prihode od financijske imovine, odnosno od kamata na depozite po viđenju. </w:t>
      </w:r>
    </w:p>
    <w:p w:rsidR="00F47DFC" w:rsidRDefault="00F47DFC" w:rsidP="00575135">
      <w:pPr>
        <w:spacing w:after="0"/>
        <w:rPr>
          <w:rFonts w:asciiTheme="majorHAnsi" w:hAnsiTheme="majorHAnsi"/>
          <w:i/>
          <w:sz w:val="18"/>
          <w:szCs w:val="32"/>
        </w:rPr>
      </w:pPr>
    </w:p>
    <w:p w:rsidR="00575135" w:rsidRPr="002C1F65" w:rsidRDefault="00575135" w:rsidP="00575135">
      <w:pPr>
        <w:spacing w:after="0"/>
        <w:rPr>
          <w:rFonts w:asciiTheme="majorHAnsi" w:hAnsiTheme="majorHAnsi"/>
          <w:i/>
          <w:sz w:val="18"/>
          <w:szCs w:val="32"/>
        </w:rPr>
      </w:pPr>
      <w:r w:rsidRPr="002C1F65">
        <w:rPr>
          <w:rFonts w:asciiTheme="majorHAnsi" w:hAnsiTheme="majorHAnsi"/>
          <w:i/>
          <w:sz w:val="18"/>
          <w:szCs w:val="32"/>
        </w:rPr>
        <w:t>Tab.</w:t>
      </w:r>
      <w:r>
        <w:rPr>
          <w:rFonts w:asciiTheme="majorHAnsi" w:hAnsiTheme="majorHAnsi"/>
          <w:i/>
          <w:sz w:val="18"/>
          <w:szCs w:val="32"/>
        </w:rPr>
        <w:t>2</w:t>
      </w:r>
      <w:r w:rsidRPr="002C1F65">
        <w:rPr>
          <w:rFonts w:asciiTheme="majorHAnsi" w:hAnsiTheme="majorHAnsi"/>
          <w:i/>
          <w:sz w:val="18"/>
          <w:szCs w:val="32"/>
        </w:rPr>
        <w:t xml:space="preserve"> </w:t>
      </w:r>
      <w:r>
        <w:rPr>
          <w:rFonts w:asciiTheme="majorHAnsi" w:hAnsiTheme="majorHAnsi"/>
          <w:i/>
          <w:sz w:val="18"/>
          <w:szCs w:val="32"/>
        </w:rPr>
        <w:t>RASHODI POSLOVANJA PREMA EKONOMSKOJ KLASIFIKACIJI</w:t>
      </w:r>
    </w:p>
    <w:p w:rsidR="00F47DFC" w:rsidRPr="00F47DFC" w:rsidRDefault="00F47DFC" w:rsidP="00F47DFC">
      <w:pPr>
        <w:spacing w:before="100" w:beforeAutospacing="1" w:after="100" w:afterAutospacing="1" w:line="240" w:lineRule="auto"/>
        <w:rPr>
          <w:rFonts w:ascii="Times New Roman" w:eastAsia="Times New Roman" w:hAnsi="Times New Roman" w:cs="Times New Roman"/>
          <w:lang w:eastAsia="hr-HR"/>
        </w:rPr>
      </w:pPr>
      <w:r w:rsidRPr="00F47DFC">
        <w:rPr>
          <w:rFonts w:ascii="Times New Roman" w:eastAsia="Times New Roman" w:hAnsi="Times New Roman" w:cs="Times New Roman"/>
          <w:noProof/>
          <w:lang w:eastAsia="hr-HR"/>
        </w:rPr>
        <w:drawing>
          <wp:inline distT="0" distB="0" distL="0" distR="0">
            <wp:extent cx="5760720" cy="1611630"/>
            <wp:effectExtent l="19050" t="19050" r="11430" b="26670"/>
            <wp:docPr id="3" name="Slika 3" descr="C:\Users\Admin\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611630"/>
                    </a:xfrm>
                    <a:prstGeom prst="rect">
                      <a:avLst/>
                    </a:prstGeom>
                    <a:noFill/>
                    <a:ln>
                      <a:solidFill>
                        <a:schemeClr val="tx1"/>
                      </a:solidFill>
                    </a:ln>
                  </pic:spPr>
                </pic:pic>
              </a:graphicData>
            </a:graphic>
          </wp:inline>
        </w:drawing>
      </w:r>
    </w:p>
    <w:p w:rsidR="0098016E" w:rsidRDefault="0098016E" w:rsidP="0098016E">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 xml:space="preserve">Rashodi za zaposlene </w:t>
      </w:r>
    </w:p>
    <w:p w:rsidR="00F47DFC" w:rsidRDefault="00F47DFC" w:rsidP="0098016E">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 xml:space="preserve">U 2025. godini rashodi za zaposlene iznosili su </w:t>
      </w:r>
      <w:r w:rsidR="00271887">
        <w:rPr>
          <w:rFonts w:asciiTheme="majorHAnsi" w:eastAsia="Times New Roman" w:hAnsiTheme="majorHAnsi"/>
          <w:lang w:eastAsia="hr-HR"/>
        </w:rPr>
        <w:t xml:space="preserve"> 2</w:t>
      </w:r>
      <w:r>
        <w:rPr>
          <w:rFonts w:asciiTheme="majorHAnsi" w:eastAsia="Times New Roman" w:hAnsiTheme="majorHAnsi"/>
          <w:lang w:eastAsia="hr-HR"/>
        </w:rPr>
        <w:t xml:space="preserve">.660.755,37 eura, što je uvećanje od 21,1% posto u odnosu na 2024. godinu. OŠ </w:t>
      </w:r>
      <w:proofErr w:type="spellStart"/>
      <w:r>
        <w:rPr>
          <w:rFonts w:asciiTheme="majorHAnsi" w:eastAsia="Times New Roman" w:hAnsiTheme="majorHAnsi"/>
          <w:lang w:eastAsia="hr-HR"/>
        </w:rPr>
        <w:t>Kuršanec</w:t>
      </w:r>
      <w:proofErr w:type="spellEnd"/>
      <w:r>
        <w:rPr>
          <w:rFonts w:asciiTheme="majorHAnsi" w:eastAsia="Times New Roman" w:hAnsiTheme="majorHAnsi"/>
          <w:lang w:eastAsia="hr-HR"/>
        </w:rPr>
        <w:t xml:space="preserve"> u 2025. godini zapošljavala je veći broj djelatnika nego prethodnih godina, radi povećanja satnice učitelja, učestalih bolovanja koja su za sobom povlačila brojne zamjene, ali i zapošljavanje većeg broja pomoćnika u nastavi na punih 12 mjeseci što prijašnjih godina nije bila praksa. Zapošljavanjem većeg broja djelatnika povećani su i rashodi za</w:t>
      </w:r>
      <w:r w:rsidR="00271887">
        <w:rPr>
          <w:rFonts w:asciiTheme="majorHAnsi" w:eastAsia="Times New Roman" w:hAnsiTheme="majorHAnsi"/>
          <w:lang w:eastAsia="hr-HR"/>
        </w:rPr>
        <w:t xml:space="preserve"> </w:t>
      </w:r>
      <w:r>
        <w:rPr>
          <w:rFonts w:asciiTheme="majorHAnsi" w:eastAsia="Times New Roman" w:hAnsiTheme="majorHAnsi"/>
          <w:lang w:eastAsia="hr-HR"/>
        </w:rPr>
        <w:t xml:space="preserve">materijalna prava </w:t>
      </w:r>
      <w:r w:rsidR="00271887">
        <w:rPr>
          <w:rFonts w:asciiTheme="majorHAnsi" w:eastAsia="Times New Roman" w:hAnsiTheme="majorHAnsi"/>
          <w:lang w:eastAsia="hr-HR"/>
        </w:rPr>
        <w:t xml:space="preserve">(regres, </w:t>
      </w:r>
      <w:proofErr w:type="spellStart"/>
      <w:r w:rsidR="00271887">
        <w:rPr>
          <w:rFonts w:asciiTheme="majorHAnsi" w:eastAsia="Times New Roman" w:hAnsiTheme="majorHAnsi"/>
          <w:lang w:eastAsia="hr-HR"/>
        </w:rPr>
        <w:t>uskrsnica</w:t>
      </w:r>
      <w:proofErr w:type="spellEnd"/>
      <w:r w:rsidR="00271887">
        <w:rPr>
          <w:rFonts w:asciiTheme="majorHAnsi" w:eastAsia="Times New Roman" w:hAnsiTheme="majorHAnsi"/>
          <w:lang w:eastAsia="hr-HR"/>
        </w:rPr>
        <w:t>, božićnica, dar za dijete i sl.)</w:t>
      </w:r>
      <w:r>
        <w:rPr>
          <w:rFonts w:asciiTheme="majorHAnsi" w:eastAsia="Times New Roman" w:hAnsiTheme="majorHAnsi"/>
          <w:lang w:eastAsia="hr-HR"/>
        </w:rPr>
        <w:t xml:space="preserve"> </w:t>
      </w:r>
    </w:p>
    <w:p w:rsidR="00271887" w:rsidRDefault="00271887" w:rsidP="0098016E">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Materijalni rashodi š</w:t>
      </w:r>
    </w:p>
    <w:p w:rsidR="00271887" w:rsidRDefault="00271887" w:rsidP="0098016E">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Materijalni rashodi</w:t>
      </w:r>
      <w:r w:rsidR="002C16E3">
        <w:rPr>
          <w:rFonts w:asciiTheme="majorHAnsi" w:eastAsia="Times New Roman" w:hAnsiTheme="majorHAnsi"/>
          <w:lang w:eastAsia="hr-HR"/>
        </w:rPr>
        <w:t xml:space="preserve"> škole</w:t>
      </w:r>
      <w:r>
        <w:rPr>
          <w:rFonts w:asciiTheme="majorHAnsi" w:eastAsia="Times New Roman" w:hAnsiTheme="majorHAnsi"/>
          <w:lang w:eastAsia="hr-HR"/>
        </w:rPr>
        <w:t xml:space="preserve"> u 2025. godini iznosili su  359.226,89</w:t>
      </w:r>
      <w:r w:rsidR="002C16E3">
        <w:rPr>
          <w:rFonts w:asciiTheme="majorHAnsi" w:eastAsia="Times New Roman" w:hAnsiTheme="majorHAnsi"/>
          <w:lang w:eastAsia="hr-HR"/>
        </w:rPr>
        <w:t xml:space="preserve"> eura</w:t>
      </w:r>
      <w:r>
        <w:rPr>
          <w:rFonts w:asciiTheme="majorHAnsi" w:eastAsia="Times New Roman" w:hAnsiTheme="majorHAnsi"/>
          <w:lang w:eastAsia="hr-HR"/>
        </w:rPr>
        <w:t xml:space="preserve"> i </w:t>
      </w:r>
      <w:r w:rsidR="002C16E3">
        <w:rPr>
          <w:rFonts w:asciiTheme="majorHAnsi" w:eastAsia="Times New Roman" w:hAnsiTheme="majorHAnsi"/>
          <w:lang w:eastAsia="hr-HR"/>
        </w:rPr>
        <w:t>uvećani</w:t>
      </w:r>
      <w:r>
        <w:rPr>
          <w:rFonts w:asciiTheme="majorHAnsi" w:eastAsia="Times New Roman" w:hAnsiTheme="majorHAnsi"/>
          <w:lang w:eastAsia="hr-HR"/>
        </w:rPr>
        <w:t xml:space="preserve"> su u odnosu na 2024. kada su isti iznosili 302.985,88 eura</w:t>
      </w:r>
      <w:r w:rsidR="002C16E3">
        <w:rPr>
          <w:rFonts w:asciiTheme="majorHAnsi" w:eastAsia="Times New Roman" w:hAnsiTheme="majorHAnsi"/>
          <w:lang w:eastAsia="hr-HR"/>
        </w:rPr>
        <w:t xml:space="preserve"> u prvom redu radi uvećanja ukupnih naknada za prijevoz zaposlenika, što je posljedica povećanog zapošljavanja. </w:t>
      </w:r>
      <w:r>
        <w:rPr>
          <w:rFonts w:asciiTheme="majorHAnsi" w:eastAsia="Times New Roman" w:hAnsiTheme="majorHAnsi"/>
          <w:lang w:eastAsia="hr-HR"/>
        </w:rPr>
        <w:t xml:space="preserve"> </w:t>
      </w:r>
      <w:r w:rsidR="002C16E3">
        <w:rPr>
          <w:rFonts w:asciiTheme="majorHAnsi" w:eastAsia="Times New Roman" w:hAnsiTheme="majorHAnsi"/>
          <w:lang w:eastAsia="hr-HR"/>
        </w:rPr>
        <w:t xml:space="preserve">Uvećani su i troškovi edukacije, </w:t>
      </w:r>
      <w:r w:rsidR="002C16E3">
        <w:rPr>
          <w:rFonts w:asciiTheme="majorHAnsi" w:eastAsia="Times New Roman" w:hAnsiTheme="majorHAnsi"/>
          <w:lang w:eastAsia="hr-HR"/>
        </w:rPr>
        <w:lastRenderedPageBreak/>
        <w:t xml:space="preserve">seminara i dnevnica za zaposlenike, baš kao i troškovi materijala za održavanje i čišćenje škole. Značajnije su uvećani rashodi za materijal i sirovine, što u slučaju OŠ </w:t>
      </w:r>
      <w:proofErr w:type="spellStart"/>
      <w:r w:rsidR="002C16E3">
        <w:rPr>
          <w:rFonts w:asciiTheme="majorHAnsi" w:eastAsia="Times New Roman" w:hAnsiTheme="majorHAnsi"/>
          <w:lang w:eastAsia="hr-HR"/>
        </w:rPr>
        <w:t>Kuršanec</w:t>
      </w:r>
      <w:proofErr w:type="spellEnd"/>
      <w:r w:rsidR="002C16E3">
        <w:rPr>
          <w:rFonts w:asciiTheme="majorHAnsi" w:eastAsia="Times New Roman" w:hAnsiTheme="majorHAnsi"/>
          <w:lang w:eastAsia="hr-HR"/>
        </w:rPr>
        <w:t xml:space="preserve"> znači povećanje rashoda za namirnice za prehranu učenika radi rasta cijena namirnica, ali i nabave veće količine istih s obzirom da prihodi za prehranu učenika to dozvoljavaju. Uvećani su i rashodi za usluge prijevoza, a odnose se na naknadno organizirane terenske nastave učenika, koje nisu bile dio financijskog plana za 2025. godinu, a financirane od strane MZOM-a. </w:t>
      </w:r>
    </w:p>
    <w:p w:rsidR="002C16E3" w:rsidRDefault="002C16E3" w:rsidP="0098016E">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 xml:space="preserve">Financijski rashodi </w:t>
      </w:r>
    </w:p>
    <w:p w:rsidR="002C16E3" w:rsidRDefault="002C16E3" w:rsidP="0098016E">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 xml:space="preserve">Financijski rashodi škole u 2025. godini iznosili su  450,15 eura, dok su isti u 2024. godini  iznosili 410,28 eura, a odnose se isključivo na usluge banaka. </w:t>
      </w:r>
    </w:p>
    <w:p w:rsidR="002C16E3" w:rsidRDefault="002C16E3" w:rsidP="0098016E">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Rashodi za naknade građanima</w:t>
      </w:r>
    </w:p>
    <w:p w:rsidR="002C16E3" w:rsidRDefault="002C16E3" w:rsidP="0098016E">
      <w:pPr>
        <w:spacing w:before="100" w:beforeAutospacing="1" w:after="100" w:afterAutospacing="1" w:line="240" w:lineRule="auto"/>
        <w:jc w:val="both"/>
        <w:rPr>
          <w:rFonts w:asciiTheme="majorHAnsi" w:eastAsia="Times New Roman" w:hAnsiTheme="majorHAnsi"/>
          <w:lang w:eastAsia="hr-HR"/>
        </w:rPr>
      </w:pPr>
      <w:r>
        <w:rPr>
          <w:rFonts w:asciiTheme="majorHAnsi" w:eastAsia="Times New Roman" w:hAnsiTheme="majorHAnsi"/>
          <w:lang w:eastAsia="hr-HR"/>
        </w:rPr>
        <w:t>Naknade građanima u 2025. iznosile su 60.673,67 eura, a odnose se na druge obrazovne materijale i radne udžbenike za učenike, financira osnivač i državni proračun i uvećanje u odnosu na 2024. godinu iznosi 11%.</w:t>
      </w:r>
    </w:p>
    <w:p w:rsidR="007C2D19" w:rsidRDefault="002C16E3" w:rsidP="00445529">
      <w:pPr>
        <w:jc w:val="both"/>
        <w:rPr>
          <w:rFonts w:asciiTheme="majorHAnsi" w:hAnsiTheme="majorHAnsi"/>
          <w:szCs w:val="32"/>
        </w:rPr>
      </w:pPr>
      <w:r>
        <w:rPr>
          <w:rFonts w:asciiTheme="majorHAnsi" w:hAnsiTheme="majorHAnsi"/>
          <w:szCs w:val="32"/>
        </w:rPr>
        <w:t>Rashodi za nabavu proizvedene dugotrajne imovine</w:t>
      </w:r>
    </w:p>
    <w:p w:rsidR="004C7100" w:rsidRDefault="004C7100" w:rsidP="00445529">
      <w:pPr>
        <w:jc w:val="both"/>
        <w:rPr>
          <w:rFonts w:asciiTheme="majorHAnsi" w:hAnsiTheme="majorHAnsi"/>
          <w:szCs w:val="32"/>
        </w:rPr>
      </w:pPr>
      <w:r>
        <w:rPr>
          <w:rFonts w:asciiTheme="majorHAnsi" w:hAnsiTheme="majorHAnsi"/>
          <w:szCs w:val="32"/>
        </w:rPr>
        <w:t xml:space="preserve">Klasa 4 evidentira rashode za nabavu udžbenika i knjiga za lektiru, što se financira iz državnog proračuna i u 2025. iznosi 5.943,95 eura, te nabavu nove brave za ulazna vrata škole, financira osnivač u iznosu od 3.288,58 eura. </w:t>
      </w:r>
    </w:p>
    <w:p w:rsidR="006B75DE" w:rsidRDefault="006B75DE" w:rsidP="00445529">
      <w:pPr>
        <w:jc w:val="both"/>
        <w:rPr>
          <w:rFonts w:asciiTheme="majorHAnsi" w:hAnsiTheme="majorHAnsi"/>
          <w:szCs w:val="32"/>
        </w:rPr>
      </w:pPr>
    </w:p>
    <w:p w:rsidR="006B75DE" w:rsidRPr="0012099A" w:rsidRDefault="00AE7716" w:rsidP="00445529">
      <w:pPr>
        <w:jc w:val="both"/>
        <w:rPr>
          <w:rFonts w:asciiTheme="majorHAnsi" w:hAnsiTheme="majorHAnsi"/>
          <w:i/>
          <w:sz w:val="18"/>
          <w:szCs w:val="18"/>
        </w:rPr>
      </w:pPr>
      <w:proofErr w:type="spellStart"/>
      <w:r w:rsidRPr="0012099A">
        <w:rPr>
          <w:rFonts w:asciiTheme="majorHAnsi" w:hAnsiTheme="majorHAnsi"/>
          <w:i/>
          <w:sz w:val="18"/>
          <w:szCs w:val="18"/>
        </w:rPr>
        <w:t>Tab</w:t>
      </w:r>
      <w:proofErr w:type="spellEnd"/>
      <w:r w:rsidR="0012099A" w:rsidRPr="0012099A">
        <w:rPr>
          <w:rFonts w:asciiTheme="majorHAnsi" w:hAnsiTheme="majorHAnsi"/>
          <w:i/>
          <w:sz w:val="18"/>
          <w:szCs w:val="18"/>
        </w:rPr>
        <w:t>.</w:t>
      </w:r>
      <w:r w:rsidRPr="0012099A">
        <w:rPr>
          <w:rFonts w:asciiTheme="majorHAnsi" w:hAnsiTheme="majorHAnsi"/>
          <w:i/>
          <w:sz w:val="18"/>
          <w:szCs w:val="18"/>
        </w:rPr>
        <w:t xml:space="preserve"> 3 Prihodi poslovanja prema izvorima financiranja</w:t>
      </w:r>
    </w:p>
    <w:p w:rsidR="00AE7716" w:rsidRPr="00AE7716" w:rsidRDefault="00AE7716" w:rsidP="00AE7716">
      <w:pPr>
        <w:spacing w:before="100" w:beforeAutospacing="1" w:after="100" w:afterAutospacing="1" w:line="240" w:lineRule="auto"/>
        <w:rPr>
          <w:rFonts w:ascii="Times New Roman" w:eastAsia="Times New Roman" w:hAnsi="Times New Roman" w:cs="Times New Roman"/>
          <w:lang w:eastAsia="hr-HR"/>
        </w:rPr>
      </w:pPr>
      <w:r w:rsidRPr="00AE7716">
        <w:rPr>
          <w:rFonts w:ascii="Times New Roman" w:eastAsia="Times New Roman" w:hAnsi="Times New Roman" w:cs="Times New Roman"/>
          <w:noProof/>
          <w:lang w:eastAsia="hr-HR"/>
        </w:rPr>
        <w:drawing>
          <wp:inline distT="0" distB="0" distL="0" distR="0">
            <wp:extent cx="5760720" cy="2226310"/>
            <wp:effectExtent l="19050" t="19050" r="11430" b="21590"/>
            <wp:docPr id="4" name="Slika 4" descr="C:\Users\Admin\Desktop\izvori priho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zvori prihod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226310"/>
                    </a:xfrm>
                    <a:prstGeom prst="rect">
                      <a:avLst/>
                    </a:prstGeom>
                    <a:noFill/>
                    <a:ln>
                      <a:solidFill>
                        <a:schemeClr val="tx1"/>
                      </a:solidFill>
                    </a:ln>
                  </pic:spPr>
                </pic:pic>
              </a:graphicData>
            </a:graphic>
          </wp:inline>
        </w:drawing>
      </w:r>
    </w:p>
    <w:p w:rsidR="006B75DE" w:rsidRDefault="00AE7716" w:rsidP="00445529">
      <w:pPr>
        <w:jc w:val="both"/>
        <w:rPr>
          <w:rFonts w:asciiTheme="majorHAnsi" w:hAnsiTheme="majorHAnsi"/>
          <w:szCs w:val="32"/>
        </w:rPr>
      </w:pPr>
      <w:r>
        <w:rPr>
          <w:rFonts w:asciiTheme="majorHAnsi" w:hAnsiTheme="majorHAnsi"/>
          <w:szCs w:val="32"/>
        </w:rPr>
        <w:t>Opći prihodi i primici u 2025. godini, u odnosu na plan za 2025. i izvršenje 2024. godine, značajnije su umanjeni iz razloga što je došlo do drugačijeg evidentiranja prihoda prema izvorima financiranja, pa se tako u 2025. godini, prihodi, ali i rashodi za decentralizirane funkcije evidentiraju na posebnom izvoru 44, decentralizirana sredstva dok su do sada bili dio izvora 11.</w:t>
      </w:r>
    </w:p>
    <w:p w:rsidR="00AE7716" w:rsidRDefault="00AE7716" w:rsidP="00445529">
      <w:pPr>
        <w:jc w:val="both"/>
        <w:rPr>
          <w:rFonts w:asciiTheme="majorHAnsi" w:hAnsiTheme="majorHAnsi"/>
          <w:szCs w:val="32"/>
        </w:rPr>
      </w:pPr>
      <w:r>
        <w:rPr>
          <w:rFonts w:asciiTheme="majorHAnsi" w:hAnsiTheme="majorHAnsi"/>
          <w:szCs w:val="32"/>
        </w:rPr>
        <w:t xml:space="preserve">Prihodi izvora financiranja 52, ostale pomoći, u prethodnim su se razdobljima odnosili na sve prihode klase 636 od nenadležnih proračuna (Država, županija, nenadležna ministarstva itd.), a u 2025. izvor financiranja 52 evidentira prihod od Međimurske županije 523 i prihod  za plaću </w:t>
      </w:r>
      <w:r>
        <w:rPr>
          <w:rFonts w:asciiTheme="majorHAnsi" w:hAnsiTheme="majorHAnsi"/>
          <w:szCs w:val="32"/>
        </w:rPr>
        <w:lastRenderedPageBreak/>
        <w:t>pomoćnika u nastavi, 5231, što je prijenos EU.</w:t>
      </w:r>
      <w:r w:rsidR="0074594A">
        <w:rPr>
          <w:rFonts w:asciiTheme="majorHAnsi" w:hAnsiTheme="majorHAnsi"/>
          <w:szCs w:val="32"/>
        </w:rPr>
        <w:t xml:space="preserve"> Prihodi izvora financiranja 501 u 2025. evidentiraju u najvećoj mjeri place djelatnika koje se financiraju iz proračuna MZOM-a</w:t>
      </w:r>
      <w:r w:rsidR="00FC7132">
        <w:rPr>
          <w:rFonts w:asciiTheme="majorHAnsi" w:hAnsiTheme="majorHAnsi"/>
          <w:szCs w:val="32"/>
        </w:rPr>
        <w:t xml:space="preserve">, prijevoz i pripadajuća materijalna prava, te ostale prihode kao što je terenska nastava učenika, financira MZOM, prehrana učenika financirana iz državnog proračuna. </w:t>
      </w:r>
    </w:p>
    <w:p w:rsidR="00AE7716" w:rsidRPr="0012099A" w:rsidRDefault="00AE7716" w:rsidP="00FC7132">
      <w:pPr>
        <w:spacing w:line="259" w:lineRule="auto"/>
        <w:rPr>
          <w:rFonts w:asciiTheme="majorHAnsi" w:hAnsiTheme="majorHAnsi"/>
          <w:i/>
          <w:sz w:val="18"/>
          <w:szCs w:val="18"/>
        </w:rPr>
      </w:pPr>
      <w:proofErr w:type="spellStart"/>
      <w:r w:rsidRPr="0012099A">
        <w:rPr>
          <w:rFonts w:asciiTheme="majorHAnsi" w:hAnsiTheme="majorHAnsi"/>
          <w:i/>
          <w:sz w:val="18"/>
          <w:szCs w:val="18"/>
        </w:rPr>
        <w:t>Tab</w:t>
      </w:r>
      <w:proofErr w:type="spellEnd"/>
      <w:r w:rsidR="0012099A" w:rsidRPr="0012099A">
        <w:rPr>
          <w:rFonts w:asciiTheme="majorHAnsi" w:hAnsiTheme="majorHAnsi"/>
          <w:i/>
          <w:sz w:val="18"/>
          <w:szCs w:val="18"/>
        </w:rPr>
        <w:t>.</w:t>
      </w:r>
      <w:r w:rsidRPr="0012099A">
        <w:rPr>
          <w:rFonts w:asciiTheme="majorHAnsi" w:hAnsiTheme="majorHAnsi"/>
          <w:i/>
          <w:sz w:val="18"/>
          <w:szCs w:val="18"/>
        </w:rPr>
        <w:t xml:space="preserve"> 4 Rashodi  poslovanja prema izvorima financiranja</w:t>
      </w:r>
    </w:p>
    <w:p w:rsidR="00AE7716" w:rsidRPr="00AE7716" w:rsidRDefault="00AE7716" w:rsidP="00AE7716">
      <w:pPr>
        <w:spacing w:before="100" w:beforeAutospacing="1" w:after="100" w:afterAutospacing="1" w:line="240" w:lineRule="auto"/>
        <w:rPr>
          <w:rFonts w:ascii="Times New Roman" w:eastAsia="Times New Roman" w:hAnsi="Times New Roman" w:cs="Times New Roman"/>
          <w:lang w:eastAsia="hr-HR"/>
        </w:rPr>
      </w:pPr>
      <w:r w:rsidRPr="00AE7716">
        <w:rPr>
          <w:rFonts w:ascii="Times New Roman" w:eastAsia="Times New Roman" w:hAnsi="Times New Roman" w:cs="Times New Roman"/>
          <w:noProof/>
          <w:lang w:eastAsia="hr-HR"/>
        </w:rPr>
        <w:drawing>
          <wp:inline distT="0" distB="0" distL="0" distR="0">
            <wp:extent cx="5760720" cy="2207260"/>
            <wp:effectExtent l="19050" t="19050" r="11430" b="21590"/>
            <wp:docPr id="8" name="Slika 8" descr="C:\Users\Admin\Desktop\izvori rasho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izvori rashod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207260"/>
                    </a:xfrm>
                    <a:prstGeom prst="rect">
                      <a:avLst/>
                    </a:prstGeom>
                    <a:noFill/>
                    <a:ln>
                      <a:solidFill>
                        <a:schemeClr val="tx1"/>
                      </a:solidFill>
                    </a:ln>
                  </pic:spPr>
                </pic:pic>
              </a:graphicData>
            </a:graphic>
          </wp:inline>
        </w:drawing>
      </w:r>
    </w:p>
    <w:p w:rsidR="00AE7716" w:rsidRDefault="00AE7716" w:rsidP="00AE7716">
      <w:pPr>
        <w:jc w:val="both"/>
        <w:rPr>
          <w:rFonts w:asciiTheme="majorHAnsi" w:hAnsiTheme="majorHAnsi"/>
          <w:szCs w:val="32"/>
        </w:rPr>
      </w:pPr>
    </w:p>
    <w:p w:rsidR="001A280A" w:rsidRPr="001A280A" w:rsidRDefault="001A280A" w:rsidP="00AE7716">
      <w:pPr>
        <w:jc w:val="both"/>
        <w:rPr>
          <w:rFonts w:asciiTheme="majorHAnsi" w:hAnsiTheme="majorHAnsi"/>
          <w:szCs w:val="32"/>
        </w:rPr>
      </w:pPr>
      <w:r>
        <w:rPr>
          <w:rFonts w:asciiTheme="majorHAnsi" w:hAnsiTheme="majorHAnsi"/>
          <w:szCs w:val="32"/>
        </w:rPr>
        <w:t>Opći rashodi i izdaci u 2025 godini iznose  148.265,98 eura i umanjeni su u odnosu na 2024. godinu, kada su iznosili 206.975,76 eura iz razloga što  su rashodi za materijalne troškove škole iskazani na izvoru financiranja 44 kao decentralizirana sredstva što je doprinijelo boljem praćenju prihoda i rashoda od nadležnog proračuna. Ostale pomoći iz državnog proračuna, izvor 52, umanjen je značajno u odnosu na plan i izvršenje 2024. iz razloga što su pomoći iz Državnog proračuna iskazane u 2025 na izvoru 501, a odnose se na najveći dio rashoda škole, a to su plaće djelatnika te pripadajuća materijalan prava.  Pomoći EU</w:t>
      </w:r>
      <w:r w:rsidR="0012099A">
        <w:rPr>
          <w:rFonts w:asciiTheme="majorHAnsi" w:hAnsiTheme="majorHAnsi"/>
          <w:szCs w:val="32"/>
        </w:rPr>
        <w:t xml:space="preserve"> </w:t>
      </w:r>
      <w:r>
        <w:rPr>
          <w:rFonts w:asciiTheme="majorHAnsi" w:hAnsiTheme="majorHAnsi"/>
          <w:szCs w:val="32"/>
        </w:rPr>
        <w:t>u planu su bile evidentirane na izvoru 51. no kroz godinu, pa tako i izvršenju evidentirane su na izvoru 5231. odnosno 52 – pomoći.</w:t>
      </w:r>
    </w:p>
    <w:p w:rsidR="006B75DE" w:rsidRDefault="006B75DE" w:rsidP="00445529">
      <w:pPr>
        <w:jc w:val="both"/>
        <w:rPr>
          <w:rFonts w:asciiTheme="majorHAnsi" w:hAnsiTheme="majorHAnsi"/>
          <w:szCs w:val="32"/>
        </w:rPr>
      </w:pPr>
    </w:p>
    <w:p w:rsidR="000F0179" w:rsidRDefault="000F0179" w:rsidP="00445529">
      <w:pPr>
        <w:jc w:val="both"/>
        <w:rPr>
          <w:rFonts w:asciiTheme="majorHAnsi" w:hAnsiTheme="majorHAnsi"/>
          <w:szCs w:val="32"/>
        </w:rPr>
      </w:pPr>
      <w:r>
        <w:rPr>
          <w:rFonts w:asciiTheme="majorHAnsi" w:hAnsiTheme="majorHAnsi"/>
          <w:szCs w:val="32"/>
        </w:rPr>
        <w:t>OBRAZLOŽENJE POSEBNOG DIJELA PRORAČUNA</w:t>
      </w:r>
    </w:p>
    <w:p w:rsidR="000F0179" w:rsidRPr="000F0179" w:rsidRDefault="0012099A" w:rsidP="000F0179">
      <w:pPr>
        <w:jc w:val="both"/>
        <w:rPr>
          <w:rFonts w:cs="Calibri Light"/>
          <w:szCs w:val="32"/>
        </w:rPr>
      </w:pPr>
      <w:r w:rsidRPr="000F0179">
        <w:rPr>
          <w:rFonts w:cs="Calibri Light"/>
          <w:szCs w:val="32"/>
        </w:rPr>
        <w:t xml:space="preserve"> </w:t>
      </w:r>
      <w:r w:rsidR="000F0179" w:rsidRPr="000F0179">
        <w:rPr>
          <w:rFonts w:cs="Calibri Light"/>
          <w:szCs w:val="32"/>
        </w:rPr>
        <w:t>Posebni dio proračuna sadrži podatke izvršenja rashoda i izdataka po organizacijskoj klasifikaciji i programskoj klasifikaciji – rashodi i izdaci unutar razdjela i glava proračuna prikazuju se po programima, aktivnostima i računima računskog plana proračuna. U nastavku se daje obrazloženje realizacije rashoda i izdataka po navedenim proračunskim klasifikacijama. U posebnom dijelu, za razliku od općeg dijela proračuna, ne prikazuju se usporedni podaci izvještajnog razdoblja prethodne godine.</w:t>
      </w:r>
    </w:p>
    <w:p w:rsidR="006B75DE" w:rsidRDefault="006B75DE">
      <w:pPr>
        <w:spacing w:line="259" w:lineRule="auto"/>
        <w:rPr>
          <w:rFonts w:asciiTheme="majorHAnsi" w:hAnsiTheme="majorHAnsi"/>
          <w:szCs w:val="32"/>
        </w:rPr>
      </w:pPr>
    </w:p>
    <w:p w:rsidR="00EF1E54" w:rsidRDefault="00EF1E54" w:rsidP="000F0179">
      <w:pPr>
        <w:rPr>
          <w:rFonts w:ascii="Calibri" w:hAnsi="Calibri" w:cs="Calibri"/>
          <w:b/>
          <w:bCs/>
        </w:rPr>
      </w:pPr>
    </w:p>
    <w:p w:rsidR="00EF1E54" w:rsidRDefault="00EF1E54" w:rsidP="000F0179">
      <w:pPr>
        <w:rPr>
          <w:rFonts w:ascii="Calibri" w:hAnsi="Calibri" w:cs="Calibri"/>
          <w:b/>
          <w:bCs/>
        </w:rPr>
      </w:pPr>
    </w:p>
    <w:p w:rsidR="00EF1E54" w:rsidRDefault="00EF1E54" w:rsidP="000F0179">
      <w:pPr>
        <w:rPr>
          <w:rFonts w:ascii="Calibri" w:hAnsi="Calibri" w:cs="Calibri"/>
          <w:b/>
          <w:bCs/>
        </w:rPr>
      </w:pPr>
    </w:p>
    <w:p w:rsidR="000F0179" w:rsidRPr="00565F4E" w:rsidRDefault="000F0179" w:rsidP="000F0179">
      <w:pPr>
        <w:rPr>
          <w:rFonts w:ascii="Calibri" w:hAnsi="Calibri" w:cs="Calibri"/>
          <w:b/>
          <w:bCs/>
        </w:rPr>
      </w:pPr>
      <w:r w:rsidRPr="00565F4E">
        <w:rPr>
          <w:rFonts w:ascii="Calibri" w:hAnsi="Calibri" w:cs="Calibri"/>
          <w:b/>
          <w:bCs/>
        </w:rPr>
        <w:lastRenderedPageBreak/>
        <w:t>PROGRAM 10</w:t>
      </w:r>
      <w:r>
        <w:rPr>
          <w:rFonts w:ascii="Calibri" w:hAnsi="Calibri" w:cs="Calibri"/>
          <w:b/>
          <w:bCs/>
        </w:rPr>
        <w:t>24</w:t>
      </w:r>
      <w:r w:rsidRPr="00565F4E">
        <w:rPr>
          <w:rFonts w:ascii="Calibri" w:hAnsi="Calibri" w:cs="Calibri"/>
          <w:b/>
          <w:bCs/>
        </w:rPr>
        <w:t xml:space="preserve"> </w:t>
      </w:r>
      <w:r>
        <w:rPr>
          <w:rFonts w:ascii="Calibri" w:hAnsi="Calibri" w:cs="Calibri"/>
          <w:b/>
          <w:bCs/>
        </w:rPr>
        <w:t xml:space="preserve"> DECENTRALIZIRANA SREDSTVA</w:t>
      </w:r>
    </w:p>
    <w:p w:rsidR="000F0179" w:rsidRPr="00565F4E" w:rsidRDefault="000F0179" w:rsidP="000F0179">
      <w:pPr>
        <w:jc w:val="both"/>
        <w:rPr>
          <w:rFonts w:ascii="Calibri" w:hAnsi="Calibri" w:cs="Calibri"/>
        </w:rPr>
      </w:pPr>
      <w:r>
        <w:t>Cilj programa decentraliziranih funkcija s pogleda osnovne škole je osigurati stabilno financiranje materijalnih troškova kako bi škola imala uvjete za nesmetan i kvalitetan odgojno-obrazovni rad.</w:t>
      </w:r>
    </w:p>
    <w:p w:rsidR="000F0179" w:rsidRPr="00565F4E" w:rsidRDefault="000F0179" w:rsidP="000F0179">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2"/>
        <w:gridCol w:w="1722"/>
        <w:gridCol w:w="1722"/>
        <w:gridCol w:w="2019"/>
      </w:tblGrid>
      <w:tr w:rsidR="000F0179" w:rsidRPr="00EF1E54" w:rsidTr="00EF1E54">
        <w:trPr>
          <w:trHeight w:val="262"/>
        </w:trPr>
        <w:tc>
          <w:tcPr>
            <w:tcW w:w="2547" w:type="dxa"/>
            <w:shd w:val="clear" w:color="auto" w:fill="auto"/>
          </w:tcPr>
          <w:p w:rsidR="000F0179" w:rsidRPr="00EF1E54" w:rsidRDefault="000F0179" w:rsidP="001D47D0">
            <w:pPr>
              <w:jc w:val="center"/>
              <w:rPr>
                <w:rFonts w:asciiTheme="majorHAnsi" w:hAnsiTheme="majorHAnsi"/>
                <w:sz w:val="20"/>
                <w:szCs w:val="20"/>
              </w:rPr>
            </w:pPr>
            <w:r w:rsidRPr="00EF1E54">
              <w:rPr>
                <w:rFonts w:asciiTheme="majorHAnsi" w:hAnsiTheme="majorHAnsi"/>
                <w:sz w:val="20"/>
                <w:szCs w:val="20"/>
              </w:rPr>
              <w:t>Pokazatelj rezultata</w:t>
            </w:r>
          </w:p>
        </w:tc>
        <w:tc>
          <w:tcPr>
            <w:tcW w:w="1052" w:type="dxa"/>
            <w:shd w:val="clear" w:color="auto" w:fill="auto"/>
          </w:tcPr>
          <w:p w:rsidR="000F0179" w:rsidRPr="00EF1E54" w:rsidRDefault="000F0179" w:rsidP="001D47D0">
            <w:pPr>
              <w:jc w:val="center"/>
              <w:rPr>
                <w:rFonts w:asciiTheme="majorHAnsi" w:hAnsiTheme="majorHAnsi"/>
                <w:sz w:val="20"/>
                <w:szCs w:val="20"/>
              </w:rPr>
            </w:pPr>
            <w:r w:rsidRPr="00EF1E54">
              <w:rPr>
                <w:rFonts w:asciiTheme="majorHAnsi" w:hAnsiTheme="majorHAnsi"/>
                <w:sz w:val="20"/>
                <w:szCs w:val="20"/>
              </w:rPr>
              <w:t>Jedinica</w:t>
            </w:r>
          </w:p>
        </w:tc>
        <w:tc>
          <w:tcPr>
            <w:tcW w:w="1722" w:type="dxa"/>
            <w:shd w:val="clear" w:color="auto" w:fill="auto"/>
          </w:tcPr>
          <w:p w:rsidR="000F0179" w:rsidRPr="00EF1E54" w:rsidRDefault="000F0179" w:rsidP="001D47D0">
            <w:pPr>
              <w:jc w:val="center"/>
              <w:rPr>
                <w:rFonts w:asciiTheme="majorHAnsi" w:hAnsiTheme="majorHAnsi"/>
                <w:sz w:val="20"/>
                <w:szCs w:val="20"/>
              </w:rPr>
            </w:pPr>
            <w:r w:rsidRPr="00EF1E54">
              <w:rPr>
                <w:rFonts w:asciiTheme="majorHAnsi" w:hAnsiTheme="majorHAnsi"/>
                <w:sz w:val="20"/>
                <w:szCs w:val="20"/>
              </w:rPr>
              <w:t>Polazna vrijednost</w:t>
            </w:r>
          </w:p>
        </w:tc>
        <w:tc>
          <w:tcPr>
            <w:tcW w:w="1722" w:type="dxa"/>
            <w:shd w:val="clear" w:color="auto" w:fill="auto"/>
          </w:tcPr>
          <w:p w:rsidR="000F0179" w:rsidRPr="00EF1E54" w:rsidRDefault="000F0179" w:rsidP="001D47D0">
            <w:pPr>
              <w:jc w:val="center"/>
              <w:rPr>
                <w:rFonts w:asciiTheme="majorHAnsi" w:hAnsiTheme="majorHAnsi"/>
                <w:sz w:val="20"/>
                <w:szCs w:val="20"/>
              </w:rPr>
            </w:pPr>
            <w:r w:rsidRPr="00EF1E54">
              <w:rPr>
                <w:rFonts w:asciiTheme="majorHAnsi" w:hAnsiTheme="majorHAnsi"/>
                <w:sz w:val="20"/>
                <w:szCs w:val="20"/>
              </w:rPr>
              <w:t>Ciljana vrijednost 202</w:t>
            </w:r>
            <w:r w:rsidRPr="00EF1E54">
              <w:rPr>
                <w:rFonts w:asciiTheme="majorHAnsi" w:hAnsiTheme="majorHAnsi"/>
                <w:sz w:val="20"/>
                <w:szCs w:val="20"/>
              </w:rPr>
              <w:t>5</w:t>
            </w:r>
          </w:p>
        </w:tc>
        <w:tc>
          <w:tcPr>
            <w:tcW w:w="2019" w:type="dxa"/>
            <w:shd w:val="clear" w:color="auto" w:fill="auto"/>
          </w:tcPr>
          <w:p w:rsidR="000F0179" w:rsidRPr="00EF1E54" w:rsidRDefault="000F0179" w:rsidP="001D47D0">
            <w:pPr>
              <w:jc w:val="center"/>
              <w:rPr>
                <w:rFonts w:asciiTheme="majorHAnsi" w:hAnsiTheme="majorHAnsi"/>
                <w:sz w:val="20"/>
                <w:szCs w:val="20"/>
              </w:rPr>
            </w:pPr>
            <w:r w:rsidRPr="00EF1E54">
              <w:rPr>
                <w:rFonts w:asciiTheme="majorHAnsi" w:hAnsiTheme="majorHAnsi"/>
                <w:sz w:val="20"/>
                <w:szCs w:val="20"/>
              </w:rPr>
              <w:t>Ostvarena vrijednost 202</w:t>
            </w:r>
            <w:r w:rsidRPr="00EF1E54">
              <w:rPr>
                <w:rFonts w:asciiTheme="majorHAnsi" w:hAnsiTheme="majorHAnsi"/>
                <w:sz w:val="20"/>
                <w:szCs w:val="20"/>
              </w:rPr>
              <w:t>5</w:t>
            </w:r>
          </w:p>
        </w:tc>
      </w:tr>
      <w:tr w:rsidR="000F0179" w:rsidRPr="00EF1E54" w:rsidTr="00EF1E54">
        <w:tc>
          <w:tcPr>
            <w:tcW w:w="2547" w:type="dxa"/>
            <w:shd w:val="clear" w:color="auto" w:fill="auto"/>
            <w:vAlign w:val="center"/>
          </w:tcPr>
          <w:p w:rsidR="000F0179" w:rsidRPr="00EF1E54" w:rsidRDefault="000F0179" w:rsidP="001D47D0">
            <w:pPr>
              <w:rPr>
                <w:rFonts w:asciiTheme="majorHAnsi" w:hAnsiTheme="majorHAnsi"/>
                <w:sz w:val="20"/>
                <w:szCs w:val="20"/>
              </w:rPr>
            </w:pPr>
            <w:r w:rsidRPr="00EF1E54">
              <w:rPr>
                <w:rFonts w:asciiTheme="majorHAnsi" w:hAnsiTheme="majorHAnsi"/>
                <w:sz w:val="20"/>
                <w:szCs w:val="20"/>
              </w:rPr>
              <w:t>Pokazatelji rezultata su redovito podmireni materijalni troškovi, osigurani sigurni i funkcionalni prostorni uvjeti te nesmetano odvijanje nastave bez prekida.</w:t>
            </w:r>
          </w:p>
        </w:tc>
        <w:tc>
          <w:tcPr>
            <w:tcW w:w="1052" w:type="dxa"/>
            <w:shd w:val="clear" w:color="auto" w:fill="auto"/>
            <w:vAlign w:val="center"/>
          </w:tcPr>
          <w:p w:rsidR="000F0179" w:rsidRPr="00EF1E54" w:rsidRDefault="000F0179" w:rsidP="001D47D0">
            <w:pPr>
              <w:jc w:val="center"/>
              <w:rPr>
                <w:rFonts w:asciiTheme="majorHAnsi" w:hAnsiTheme="majorHAnsi"/>
                <w:sz w:val="20"/>
                <w:szCs w:val="20"/>
              </w:rPr>
            </w:pPr>
            <w:r w:rsidRPr="00EF1E54">
              <w:rPr>
                <w:rFonts w:asciiTheme="majorHAnsi" w:hAnsiTheme="majorHAnsi"/>
                <w:sz w:val="20"/>
                <w:szCs w:val="20"/>
              </w:rPr>
              <w:t>Broj</w:t>
            </w:r>
          </w:p>
        </w:tc>
        <w:tc>
          <w:tcPr>
            <w:tcW w:w="1722" w:type="dxa"/>
            <w:shd w:val="clear" w:color="auto" w:fill="auto"/>
            <w:vAlign w:val="center"/>
          </w:tcPr>
          <w:p w:rsidR="000F0179" w:rsidRPr="00EF1E54" w:rsidRDefault="000F0179" w:rsidP="001D47D0">
            <w:pPr>
              <w:jc w:val="center"/>
              <w:rPr>
                <w:rFonts w:asciiTheme="majorHAnsi" w:hAnsiTheme="majorHAnsi"/>
                <w:sz w:val="20"/>
                <w:szCs w:val="20"/>
              </w:rPr>
            </w:pPr>
            <w:r w:rsidRPr="00EF1E54">
              <w:rPr>
                <w:rFonts w:asciiTheme="majorHAnsi" w:hAnsiTheme="majorHAnsi"/>
                <w:sz w:val="20"/>
                <w:szCs w:val="20"/>
              </w:rPr>
              <w:t>0</w:t>
            </w:r>
          </w:p>
        </w:tc>
        <w:tc>
          <w:tcPr>
            <w:tcW w:w="1722" w:type="dxa"/>
            <w:shd w:val="clear" w:color="auto" w:fill="auto"/>
            <w:vAlign w:val="center"/>
          </w:tcPr>
          <w:p w:rsidR="000F0179" w:rsidRPr="00EF1E54" w:rsidRDefault="000F0179" w:rsidP="001D47D0">
            <w:pPr>
              <w:jc w:val="center"/>
              <w:rPr>
                <w:rFonts w:asciiTheme="majorHAnsi" w:hAnsiTheme="majorHAnsi"/>
                <w:sz w:val="20"/>
                <w:szCs w:val="20"/>
              </w:rPr>
            </w:pPr>
            <w:r w:rsidRPr="00EF1E54">
              <w:rPr>
                <w:rFonts w:asciiTheme="majorHAnsi" w:hAnsiTheme="majorHAnsi"/>
                <w:sz w:val="20"/>
                <w:szCs w:val="20"/>
              </w:rPr>
              <w:t>1</w:t>
            </w:r>
          </w:p>
        </w:tc>
        <w:tc>
          <w:tcPr>
            <w:tcW w:w="2019" w:type="dxa"/>
            <w:shd w:val="clear" w:color="auto" w:fill="auto"/>
            <w:vAlign w:val="center"/>
          </w:tcPr>
          <w:p w:rsidR="000F0179" w:rsidRPr="00EF1E54" w:rsidRDefault="000F0179" w:rsidP="001D47D0">
            <w:pPr>
              <w:jc w:val="center"/>
              <w:rPr>
                <w:rFonts w:asciiTheme="majorHAnsi" w:hAnsiTheme="majorHAnsi"/>
                <w:sz w:val="20"/>
                <w:szCs w:val="20"/>
              </w:rPr>
            </w:pPr>
            <w:r w:rsidRPr="00EF1E54">
              <w:rPr>
                <w:rFonts w:asciiTheme="majorHAnsi" w:hAnsiTheme="majorHAnsi"/>
                <w:sz w:val="20"/>
                <w:szCs w:val="20"/>
              </w:rPr>
              <w:t>1</w:t>
            </w:r>
          </w:p>
        </w:tc>
      </w:tr>
    </w:tbl>
    <w:p w:rsidR="000F0179" w:rsidRPr="00565F4E" w:rsidRDefault="000F0179" w:rsidP="000F0179">
      <w:pPr>
        <w:jc w:val="both"/>
        <w:rPr>
          <w:rFonts w:cstheme="minorHAnsi"/>
          <w:szCs w:val="32"/>
        </w:rPr>
      </w:pPr>
    </w:p>
    <w:p w:rsidR="00EF1E54" w:rsidRPr="00565F4E" w:rsidRDefault="00EF1E54" w:rsidP="00EF1E54">
      <w:pPr>
        <w:rPr>
          <w:rFonts w:ascii="Calibri" w:hAnsi="Calibri" w:cs="Calibri"/>
          <w:b/>
          <w:bCs/>
        </w:rPr>
      </w:pPr>
      <w:r w:rsidRPr="00565F4E">
        <w:rPr>
          <w:rFonts w:ascii="Calibri" w:hAnsi="Calibri" w:cs="Calibri"/>
          <w:b/>
          <w:bCs/>
        </w:rPr>
        <w:t xml:space="preserve">PROGRAM </w:t>
      </w:r>
      <w:r>
        <w:rPr>
          <w:rFonts w:ascii="Calibri" w:hAnsi="Calibri" w:cs="Calibri"/>
          <w:b/>
          <w:bCs/>
        </w:rPr>
        <w:t>1035 PROGRAM ŠKOLSTVA</w:t>
      </w:r>
    </w:p>
    <w:p w:rsidR="00EF1E54" w:rsidRDefault="00EF1E54" w:rsidP="000F0179">
      <w:pPr>
        <w:jc w:val="both"/>
      </w:pPr>
      <w:r>
        <w:t>Cilj programa školstva je osigurati kvalitetan, dostupan i uključiv odgojno-obrazovni sustav kroz financiranje plaća zaposlenika, obrazovnih materijala, pomoćnika u nastavi, prehrane učenika i drugih uvjeta nužnih za uspješno učenje i poučavanje.</w:t>
      </w:r>
    </w:p>
    <w:p w:rsidR="00EF1E54" w:rsidRDefault="00EF1E54" w:rsidP="000F0179">
      <w:pPr>
        <w:jc w:val="both"/>
        <w:rPr>
          <w:rFonts w:cstheme="minorHAnsi"/>
          <w:b/>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910"/>
        <w:gridCol w:w="1722"/>
        <w:gridCol w:w="1722"/>
        <w:gridCol w:w="2019"/>
      </w:tblGrid>
      <w:tr w:rsidR="00EF1E54" w:rsidRPr="00EF1E54" w:rsidTr="00EF1E54">
        <w:trPr>
          <w:trHeight w:val="262"/>
        </w:trPr>
        <w:tc>
          <w:tcPr>
            <w:tcW w:w="2689" w:type="dxa"/>
            <w:shd w:val="clear" w:color="auto" w:fill="auto"/>
          </w:tcPr>
          <w:p w:rsidR="00EF1E54" w:rsidRPr="00EF1E54" w:rsidRDefault="00EF1E54" w:rsidP="001D47D0">
            <w:pPr>
              <w:jc w:val="center"/>
              <w:rPr>
                <w:rFonts w:asciiTheme="majorHAnsi" w:hAnsiTheme="majorHAnsi"/>
                <w:sz w:val="20"/>
                <w:szCs w:val="20"/>
              </w:rPr>
            </w:pPr>
            <w:r w:rsidRPr="00EF1E54">
              <w:rPr>
                <w:rFonts w:asciiTheme="majorHAnsi" w:hAnsiTheme="majorHAnsi"/>
                <w:sz w:val="20"/>
                <w:szCs w:val="20"/>
              </w:rPr>
              <w:t>Pokazatelj rezultata</w:t>
            </w:r>
          </w:p>
        </w:tc>
        <w:tc>
          <w:tcPr>
            <w:tcW w:w="910" w:type="dxa"/>
            <w:shd w:val="clear" w:color="auto" w:fill="auto"/>
          </w:tcPr>
          <w:p w:rsidR="00EF1E54" w:rsidRPr="00EF1E54" w:rsidRDefault="00EF1E54" w:rsidP="001D47D0">
            <w:pPr>
              <w:jc w:val="center"/>
              <w:rPr>
                <w:rFonts w:asciiTheme="majorHAnsi" w:hAnsiTheme="majorHAnsi"/>
                <w:sz w:val="20"/>
                <w:szCs w:val="20"/>
              </w:rPr>
            </w:pPr>
            <w:r w:rsidRPr="00EF1E54">
              <w:rPr>
                <w:rFonts w:asciiTheme="majorHAnsi" w:hAnsiTheme="majorHAnsi"/>
                <w:sz w:val="20"/>
                <w:szCs w:val="20"/>
              </w:rPr>
              <w:t>Jedinica</w:t>
            </w:r>
          </w:p>
        </w:tc>
        <w:tc>
          <w:tcPr>
            <w:tcW w:w="1722" w:type="dxa"/>
            <w:shd w:val="clear" w:color="auto" w:fill="auto"/>
          </w:tcPr>
          <w:p w:rsidR="00EF1E54" w:rsidRPr="00EF1E54" w:rsidRDefault="00EF1E54" w:rsidP="001D47D0">
            <w:pPr>
              <w:jc w:val="center"/>
              <w:rPr>
                <w:rFonts w:asciiTheme="majorHAnsi" w:hAnsiTheme="majorHAnsi"/>
                <w:sz w:val="20"/>
                <w:szCs w:val="20"/>
              </w:rPr>
            </w:pPr>
            <w:r w:rsidRPr="00EF1E54">
              <w:rPr>
                <w:rFonts w:asciiTheme="majorHAnsi" w:hAnsiTheme="majorHAnsi"/>
                <w:sz w:val="20"/>
                <w:szCs w:val="20"/>
              </w:rPr>
              <w:t>Polazna vrijednost</w:t>
            </w:r>
          </w:p>
        </w:tc>
        <w:tc>
          <w:tcPr>
            <w:tcW w:w="1722" w:type="dxa"/>
            <w:shd w:val="clear" w:color="auto" w:fill="auto"/>
          </w:tcPr>
          <w:p w:rsidR="00EF1E54" w:rsidRPr="00EF1E54" w:rsidRDefault="00EF1E54" w:rsidP="001D47D0">
            <w:pPr>
              <w:jc w:val="center"/>
              <w:rPr>
                <w:rFonts w:asciiTheme="majorHAnsi" w:hAnsiTheme="majorHAnsi"/>
                <w:sz w:val="20"/>
                <w:szCs w:val="20"/>
              </w:rPr>
            </w:pPr>
            <w:r w:rsidRPr="00EF1E54">
              <w:rPr>
                <w:rFonts w:asciiTheme="majorHAnsi" w:hAnsiTheme="majorHAnsi"/>
                <w:sz w:val="20"/>
                <w:szCs w:val="20"/>
              </w:rPr>
              <w:t>Ciljana vrijednost 2025</w:t>
            </w:r>
          </w:p>
        </w:tc>
        <w:tc>
          <w:tcPr>
            <w:tcW w:w="2019" w:type="dxa"/>
            <w:shd w:val="clear" w:color="auto" w:fill="auto"/>
          </w:tcPr>
          <w:p w:rsidR="00EF1E54" w:rsidRPr="00EF1E54" w:rsidRDefault="00EF1E54" w:rsidP="001D47D0">
            <w:pPr>
              <w:jc w:val="center"/>
              <w:rPr>
                <w:rFonts w:asciiTheme="majorHAnsi" w:hAnsiTheme="majorHAnsi"/>
                <w:sz w:val="20"/>
                <w:szCs w:val="20"/>
              </w:rPr>
            </w:pPr>
            <w:r w:rsidRPr="00EF1E54">
              <w:rPr>
                <w:rFonts w:asciiTheme="majorHAnsi" w:hAnsiTheme="majorHAnsi"/>
                <w:sz w:val="20"/>
                <w:szCs w:val="20"/>
              </w:rPr>
              <w:t>Ostvarena vrijednost 2025</w:t>
            </w:r>
          </w:p>
        </w:tc>
      </w:tr>
      <w:tr w:rsidR="00EF1E54" w:rsidRPr="00EF1E54" w:rsidTr="00EF1E54">
        <w:tc>
          <w:tcPr>
            <w:tcW w:w="2689" w:type="dxa"/>
            <w:shd w:val="clear" w:color="auto" w:fill="auto"/>
            <w:vAlign w:val="center"/>
          </w:tcPr>
          <w:p w:rsidR="00EF1E54" w:rsidRPr="00EF1E54" w:rsidRDefault="00EF1E54" w:rsidP="001D47D0">
            <w:pPr>
              <w:rPr>
                <w:rFonts w:asciiTheme="majorHAnsi" w:hAnsiTheme="majorHAnsi"/>
                <w:sz w:val="20"/>
                <w:szCs w:val="20"/>
              </w:rPr>
            </w:pPr>
            <w:r w:rsidRPr="00EF1E54">
              <w:rPr>
                <w:sz w:val="20"/>
                <w:szCs w:val="20"/>
              </w:rPr>
              <w:t>Pokazatelji uspješnosti programa školstva su redovita isplata plaća, osigurani obrazovni materijali i pomoćnici u nastavi, dostupna prehrana učenika te kontinuitet i kvaliteta odgojno-obrazovnog procesa bez prekida.</w:t>
            </w:r>
          </w:p>
        </w:tc>
        <w:tc>
          <w:tcPr>
            <w:tcW w:w="910" w:type="dxa"/>
            <w:shd w:val="clear" w:color="auto" w:fill="auto"/>
            <w:vAlign w:val="center"/>
          </w:tcPr>
          <w:p w:rsidR="00EF1E54" w:rsidRPr="00EF1E54" w:rsidRDefault="00EF1E54" w:rsidP="001D47D0">
            <w:pPr>
              <w:jc w:val="center"/>
              <w:rPr>
                <w:rFonts w:asciiTheme="majorHAnsi" w:hAnsiTheme="majorHAnsi"/>
                <w:sz w:val="20"/>
                <w:szCs w:val="20"/>
              </w:rPr>
            </w:pPr>
            <w:r w:rsidRPr="00EF1E54">
              <w:rPr>
                <w:rFonts w:asciiTheme="majorHAnsi" w:hAnsiTheme="majorHAnsi"/>
                <w:sz w:val="20"/>
                <w:szCs w:val="20"/>
              </w:rPr>
              <w:t>Broj</w:t>
            </w:r>
          </w:p>
        </w:tc>
        <w:tc>
          <w:tcPr>
            <w:tcW w:w="1722" w:type="dxa"/>
            <w:shd w:val="clear" w:color="auto" w:fill="auto"/>
            <w:vAlign w:val="center"/>
          </w:tcPr>
          <w:p w:rsidR="00EF1E54" w:rsidRPr="00EF1E54" w:rsidRDefault="00EF1E54" w:rsidP="001D47D0">
            <w:pPr>
              <w:jc w:val="center"/>
              <w:rPr>
                <w:rFonts w:asciiTheme="majorHAnsi" w:hAnsiTheme="majorHAnsi"/>
                <w:sz w:val="20"/>
                <w:szCs w:val="20"/>
              </w:rPr>
            </w:pPr>
            <w:r w:rsidRPr="00EF1E54">
              <w:rPr>
                <w:rFonts w:asciiTheme="majorHAnsi" w:hAnsiTheme="majorHAnsi"/>
                <w:sz w:val="20"/>
                <w:szCs w:val="20"/>
              </w:rPr>
              <w:t>0</w:t>
            </w:r>
          </w:p>
        </w:tc>
        <w:tc>
          <w:tcPr>
            <w:tcW w:w="1722" w:type="dxa"/>
            <w:shd w:val="clear" w:color="auto" w:fill="auto"/>
            <w:vAlign w:val="center"/>
          </w:tcPr>
          <w:p w:rsidR="00EF1E54" w:rsidRPr="00EF1E54" w:rsidRDefault="00EF1E54" w:rsidP="001D47D0">
            <w:pPr>
              <w:jc w:val="center"/>
              <w:rPr>
                <w:rFonts w:asciiTheme="majorHAnsi" w:hAnsiTheme="majorHAnsi"/>
                <w:sz w:val="20"/>
                <w:szCs w:val="20"/>
              </w:rPr>
            </w:pPr>
            <w:r w:rsidRPr="00EF1E54">
              <w:rPr>
                <w:rFonts w:asciiTheme="majorHAnsi" w:hAnsiTheme="majorHAnsi"/>
                <w:sz w:val="20"/>
                <w:szCs w:val="20"/>
              </w:rPr>
              <w:t>1</w:t>
            </w:r>
          </w:p>
        </w:tc>
        <w:tc>
          <w:tcPr>
            <w:tcW w:w="2019" w:type="dxa"/>
            <w:shd w:val="clear" w:color="auto" w:fill="auto"/>
            <w:vAlign w:val="center"/>
          </w:tcPr>
          <w:p w:rsidR="00EF1E54" w:rsidRPr="00EF1E54" w:rsidRDefault="00EF1E54" w:rsidP="001D47D0">
            <w:pPr>
              <w:jc w:val="center"/>
              <w:rPr>
                <w:rFonts w:asciiTheme="majorHAnsi" w:hAnsiTheme="majorHAnsi"/>
                <w:sz w:val="20"/>
                <w:szCs w:val="20"/>
              </w:rPr>
            </w:pPr>
            <w:r w:rsidRPr="00EF1E54">
              <w:rPr>
                <w:rFonts w:asciiTheme="majorHAnsi" w:hAnsiTheme="majorHAnsi"/>
                <w:sz w:val="20"/>
                <w:szCs w:val="20"/>
              </w:rPr>
              <w:t>1</w:t>
            </w:r>
          </w:p>
        </w:tc>
      </w:tr>
    </w:tbl>
    <w:p w:rsidR="00EF1E54" w:rsidRPr="00565F4E" w:rsidRDefault="00EF1E54" w:rsidP="000F0179">
      <w:pPr>
        <w:jc w:val="both"/>
        <w:rPr>
          <w:rFonts w:cstheme="minorHAnsi"/>
          <w:b/>
          <w:szCs w:val="32"/>
        </w:rPr>
      </w:pPr>
    </w:p>
    <w:p w:rsidR="000F0179" w:rsidRPr="00565F4E" w:rsidRDefault="000F0179" w:rsidP="000F0179">
      <w:pPr>
        <w:jc w:val="both"/>
        <w:rPr>
          <w:rFonts w:cstheme="minorHAnsi"/>
          <w:b/>
          <w:szCs w:val="32"/>
        </w:rPr>
      </w:pPr>
      <w:r w:rsidRPr="00565F4E">
        <w:rPr>
          <w:rFonts w:cstheme="minorHAnsi"/>
          <w:b/>
          <w:szCs w:val="32"/>
        </w:rPr>
        <w:t>A103512 Plaće i materijalna prava – MZOM</w:t>
      </w:r>
    </w:p>
    <w:p w:rsidR="000F0179" w:rsidRPr="00565F4E" w:rsidRDefault="000F0179" w:rsidP="000F0179">
      <w:pPr>
        <w:jc w:val="both"/>
        <w:rPr>
          <w:rFonts w:cstheme="minorHAnsi"/>
          <w:szCs w:val="32"/>
        </w:rPr>
      </w:pPr>
      <w:r w:rsidRPr="00565F4E">
        <w:rPr>
          <w:rFonts w:cstheme="minorHAnsi"/>
          <w:szCs w:val="32"/>
        </w:rPr>
        <w:t xml:space="preserve">Aktivnost plaća i materijalnih prava evidentira rashode za plaće zaposlenika, doprinose na plaću, prijevoz te materijalna prava kao što su jubilarne nagrade, božićnica, </w:t>
      </w:r>
      <w:proofErr w:type="spellStart"/>
      <w:r w:rsidRPr="00565F4E">
        <w:rPr>
          <w:rFonts w:cstheme="minorHAnsi"/>
          <w:szCs w:val="32"/>
        </w:rPr>
        <w:t>uskrsnica</w:t>
      </w:r>
      <w:proofErr w:type="spellEnd"/>
      <w:r w:rsidRPr="00565F4E">
        <w:rPr>
          <w:rFonts w:cstheme="minorHAnsi"/>
          <w:szCs w:val="32"/>
        </w:rPr>
        <w:t>, regres za godišnji odmor, pomoći za bolovanja duža od 90 dana, pomoći uslijed smrti člana uže obitelji i slično. Navedeni rashodi uvećani su u odnosu na prethodna razdoblja ponajviše radi rasta plaća u javnom sektoru.</w:t>
      </w:r>
    </w:p>
    <w:p w:rsidR="00BF6489" w:rsidRDefault="00BF6489" w:rsidP="000F0179">
      <w:pPr>
        <w:jc w:val="both"/>
        <w:rPr>
          <w:rFonts w:cstheme="minorHAnsi"/>
          <w:b/>
          <w:szCs w:val="32"/>
        </w:rPr>
      </w:pPr>
    </w:p>
    <w:p w:rsidR="00BF6489" w:rsidRDefault="00BF6489" w:rsidP="000F0179">
      <w:pPr>
        <w:jc w:val="both"/>
        <w:rPr>
          <w:rFonts w:cstheme="minorHAnsi"/>
          <w:b/>
          <w:szCs w:val="32"/>
        </w:rPr>
      </w:pPr>
    </w:p>
    <w:p w:rsidR="000F0179" w:rsidRPr="00565F4E" w:rsidRDefault="000F0179" w:rsidP="000F0179">
      <w:pPr>
        <w:jc w:val="both"/>
        <w:rPr>
          <w:rFonts w:cstheme="minorHAnsi"/>
          <w:b/>
          <w:szCs w:val="32"/>
        </w:rPr>
      </w:pPr>
      <w:bookmarkStart w:id="0" w:name="_GoBack"/>
      <w:bookmarkEnd w:id="0"/>
      <w:r w:rsidRPr="00565F4E">
        <w:rPr>
          <w:rFonts w:cstheme="minorHAnsi"/>
          <w:b/>
          <w:szCs w:val="32"/>
        </w:rPr>
        <w:lastRenderedPageBreak/>
        <w:t xml:space="preserve">A103521 Građanski odgoj </w:t>
      </w:r>
    </w:p>
    <w:p w:rsidR="000F0179" w:rsidRPr="00565F4E" w:rsidRDefault="000F0179" w:rsidP="000F0179">
      <w:pPr>
        <w:jc w:val="both"/>
        <w:rPr>
          <w:rFonts w:cstheme="minorHAnsi"/>
          <w:szCs w:val="32"/>
        </w:rPr>
      </w:pPr>
      <w:r w:rsidRPr="00565F4E">
        <w:rPr>
          <w:rFonts w:cstheme="minorHAnsi"/>
          <w:szCs w:val="32"/>
        </w:rPr>
        <w:t>Grad Čakovec, kao osnivač škole, uveo je građanski odgoj u školu već 2023. godine, te se on provodi i čitave 2024. godine, a navedena aktivnost evidentira rashode za plaću učitelja koji provode nastavu iz navedenog polja.</w:t>
      </w:r>
    </w:p>
    <w:p w:rsidR="000F0179" w:rsidRPr="00565F4E" w:rsidRDefault="000F0179" w:rsidP="000F0179">
      <w:pPr>
        <w:jc w:val="both"/>
        <w:rPr>
          <w:rFonts w:cstheme="minorHAnsi"/>
          <w:b/>
          <w:szCs w:val="32"/>
        </w:rPr>
      </w:pPr>
      <w:r w:rsidRPr="00565F4E">
        <w:rPr>
          <w:rFonts w:cstheme="minorHAnsi"/>
          <w:b/>
          <w:szCs w:val="32"/>
        </w:rPr>
        <w:t>A103517 Pomoćnici u nastavi - Grad</w:t>
      </w:r>
    </w:p>
    <w:p w:rsidR="000F0179" w:rsidRPr="00565F4E" w:rsidRDefault="000F0179" w:rsidP="000F0179">
      <w:pPr>
        <w:jc w:val="both"/>
        <w:rPr>
          <w:rFonts w:cstheme="minorHAnsi"/>
          <w:szCs w:val="32"/>
        </w:rPr>
      </w:pPr>
      <w:r w:rsidRPr="00565F4E">
        <w:rPr>
          <w:rFonts w:cstheme="minorHAnsi"/>
          <w:szCs w:val="32"/>
        </w:rPr>
        <w:t>Navedena aktivnost odnosi se na plaće i materijalna prava pomoćnika u nastavi za koje je Grad Čakovec preuzeo financiranje u stopostotnom iznosu, a radi se o 9 od ukupno 17 pomoćnika u 2024. godini. Iz navedenog razloga, ali iz razloga drugačijeg knjigovodstvenog evidentiranja pomoćnika u nastavi u odnosu na prethodne godine, rashodi u 202</w:t>
      </w:r>
      <w:r w:rsidR="00EF1E54">
        <w:rPr>
          <w:rFonts w:cstheme="minorHAnsi"/>
          <w:szCs w:val="32"/>
        </w:rPr>
        <w:t>5</w:t>
      </w:r>
      <w:r w:rsidRPr="00565F4E">
        <w:rPr>
          <w:rFonts w:cstheme="minorHAnsi"/>
          <w:szCs w:val="32"/>
        </w:rPr>
        <w:t>. godini znatno s veći.</w:t>
      </w:r>
    </w:p>
    <w:p w:rsidR="000F0179" w:rsidRPr="00565F4E" w:rsidRDefault="000F0179" w:rsidP="000F0179">
      <w:pPr>
        <w:jc w:val="both"/>
        <w:rPr>
          <w:rFonts w:cstheme="minorHAnsi"/>
          <w:b/>
          <w:szCs w:val="32"/>
        </w:rPr>
      </w:pPr>
      <w:r w:rsidRPr="00565F4E">
        <w:rPr>
          <w:rFonts w:cstheme="minorHAnsi"/>
          <w:b/>
          <w:szCs w:val="32"/>
        </w:rPr>
        <w:t>A103519 Pomoćnici u nastavi - EU</w:t>
      </w:r>
    </w:p>
    <w:p w:rsidR="000F0179" w:rsidRPr="00565F4E" w:rsidRDefault="000F0179" w:rsidP="000F0179">
      <w:pPr>
        <w:jc w:val="both"/>
        <w:rPr>
          <w:rFonts w:cstheme="minorHAnsi"/>
          <w:szCs w:val="32"/>
        </w:rPr>
      </w:pPr>
      <w:r w:rsidRPr="00565F4E">
        <w:rPr>
          <w:rFonts w:cstheme="minorHAnsi"/>
          <w:szCs w:val="32"/>
        </w:rPr>
        <w:t>Navedena aktivnost evidentira rashode za plaće i materijalna prava pomoćnika u nastavi putem projekta ESF u 202</w:t>
      </w:r>
      <w:r w:rsidR="00EF1E54">
        <w:rPr>
          <w:rFonts w:cstheme="minorHAnsi"/>
          <w:szCs w:val="32"/>
        </w:rPr>
        <w:t>5</w:t>
      </w:r>
      <w:r w:rsidRPr="00565F4E">
        <w:rPr>
          <w:rFonts w:cstheme="minorHAnsi"/>
          <w:szCs w:val="32"/>
        </w:rPr>
        <w:t>. u iznosu od 85%.</w:t>
      </w:r>
    </w:p>
    <w:p w:rsidR="000F0179" w:rsidRPr="00565F4E" w:rsidRDefault="000F0179" w:rsidP="000F0179">
      <w:pPr>
        <w:jc w:val="both"/>
        <w:rPr>
          <w:rFonts w:cstheme="minorHAnsi"/>
          <w:b/>
          <w:szCs w:val="32"/>
        </w:rPr>
      </w:pPr>
      <w:r w:rsidRPr="00565F4E">
        <w:rPr>
          <w:rFonts w:cstheme="minorHAnsi"/>
          <w:b/>
          <w:szCs w:val="32"/>
        </w:rPr>
        <w:t>A103502 E-tehničar</w:t>
      </w:r>
    </w:p>
    <w:p w:rsidR="000F0179" w:rsidRPr="00565F4E" w:rsidRDefault="000F0179" w:rsidP="000F0179">
      <w:pPr>
        <w:jc w:val="both"/>
        <w:rPr>
          <w:rFonts w:cstheme="minorHAnsi"/>
          <w:szCs w:val="32"/>
        </w:rPr>
      </w:pPr>
      <w:r w:rsidRPr="00565F4E">
        <w:rPr>
          <w:rFonts w:cstheme="minorHAnsi"/>
          <w:szCs w:val="32"/>
        </w:rPr>
        <w:t xml:space="preserve">Grad Čakovec financira stručnjaka iza IT podršku škole čiji je zadatak briga i održavanje opreme </w:t>
      </w:r>
      <w:proofErr w:type="spellStart"/>
      <w:r w:rsidRPr="00565F4E">
        <w:rPr>
          <w:rFonts w:cstheme="minorHAnsi"/>
          <w:szCs w:val="32"/>
        </w:rPr>
        <w:t>Carneta</w:t>
      </w:r>
      <w:proofErr w:type="spellEnd"/>
      <w:r w:rsidRPr="00565F4E">
        <w:rPr>
          <w:rFonts w:cstheme="minorHAnsi"/>
          <w:szCs w:val="32"/>
        </w:rPr>
        <w:t xml:space="preserve"> dobivene putem projekta </w:t>
      </w:r>
      <w:proofErr w:type="spellStart"/>
      <w:r w:rsidRPr="00565F4E">
        <w:rPr>
          <w:rFonts w:cstheme="minorHAnsi"/>
          <w:szCs w:val="32"/>
        </w:rPr>
        <w:t>eŠkole</w:t>
      </w:r>
      <w:proofErr w:type="spellEnd"/>
      <w:r w:rsidRPr="00565F4E">
        <w:rPr>
          <w:rFonts w:cstheme="minorHAnsi"/>
          <w:szCs w:val="32"/>
        </w:rPr>
        <w:t xml:space="preserve"> ranijih godina. </w:t>
      </w:r>
    </w:p>
    <w:p w:rsidR="000F0179" w:rsidRPr="00565F4E" w:rsidRDefault="000F0179" w:rsidP="000F0179">
      <w:pPr>
        <w:jc w:val="both"/>
        <w:rPr>
          <w:rFonts w:cstheme="minorHAnsi"/>
          <w:b/>
          <w:szCs w:val="32"/>
        </w:rPr>
      </w:pPr>
      <w:r w:rsidRPr="00565F4E">
        <w:rPr>
          <w:rFonts w:cstheme="minorHAnsi"/>
          <w:b/>
          <w:szCs w:val="32"/>
        </w:rPr>
        <w:t>A103502 Posebni propisi – program školstva</w:t>
      </w:r>
    </w:p>
    <w:p w:rsidR="000F0179" w:rsidRPr="00565F4E" w:rsidRDefault="000F0179" w:rsidP="000F0179">
      <w:pPr>
        <w:jc w:val="both"/>
        <w:rPr>
          <w:rFonts w:cstheme="minorHAnsi"/>
          <w:szCs w:val="32"/>
        </w:rPr>
      </w:pPr>
      <w:r w:rsidRPr="00565F4E">
        <w:rPr>
          <w:rFonts w:cstheme="minorHAnsi"/>
          <w:szCs w:val="32"/>
        </w:rPr>
        <w:t>Rashodi po posebnim propisima evidentiraju rashode za užinu djelatnika.</w:t>
      </w:r>
    </w:p>
    <w:p w:rsidR="000F0179" w:rsidRPr="00565F4E" w:rsidRDefault="000F0179" w:rsidP="000F0179">
      <w:pPr>
        <w:jc w:val="both"/>
        <w:rPr>
          <w:rFonts w:cstheme="minorHAnsi"/>
          <w:b/>
          <w:szCs w:val="32"/>
        </w:rPr>
      </w:pPr>
      <w:r w:rsidRPr="00565F4E">
        <w:rPr>
          <w:rFonts w:cstheme="minorHAnsi"/>
          <w:b/>
          <w:szCs w:val="32"/>
        </w:rPr>
        <w:t>A103502 Donacije – program školstva</w:t>
      </w:r>
    </w:p>
    <w:p w:rsidR="000F0179" w:rsidRPr="00565F4E" w:rsidRDefault="000F0179" w:rsidP="000F0179">
      <w:pPr>
        <w:jc w:val="both"/>
        <w:rPr>
          <w:rFonts w:cstheme="minorHAnsi"/>
          <w:szCs w:val="32"/>
        </w:rPr>
      </w:pPr>
      <w:r w:rsidRPr="00565F4E">
        <w:rPr>
          <w:rFonts w:cstheme="minorHAnsi"/>
          <w:szCs w:val="32"/>
        </w:rPr>
        <w:t>Donacije se odnose na rashode za nabavu sportske opreme u iznosu od 5</w:t>
      </w:r>
      <w:r w:rsidR="00EF1E54">
        <w:rPr>
          <w:rFonts w:cstheme="minorHAnsi"/>
          <w:szCs w:val="32"/>
        </w:rPr>
        <w:t>5</w:t>
      </w:r>
      <w:r w:rsidRPr="00565F4E">
        <w:rPr>
          <w:rFonts w:cstheme="minorHAnsi"/>
          <w:szCs w:val="32"/>
        </w:rPr>
        <w:t>0,00e</w:t>
      </w:r>
    </w:p>
    <w:p w:rsidR="000F0179" w:rsidRDefault="000F0179">
      <w:pPr>
        <w:spacing w:line="259" w:lineRule="auto"/>
        <w:rPr>
          <w:rFonts w:asciiTheme="majorHAnsi" w:hAnsiTheme="majorHAnsi"/>
          <w:szCs w:val="32"/>
        </w:rPr>
      </w:pPr>
    </w:p>
    <w:p w:rsidR="000F0179" w:rsidRDefault="00EF1E54" w:rsidP="00EF1E54">
      <w:pPr>
        <w:spacing w:line="259" w:lineRule="auto"/>
        <w:jc w:val="both"/>
        <w:rPr>
          <w:rFonts w:asciiTheme="majorHAnsi" w:hAnsiTheme="majorHAnsi"/>
          <w:szCs w:val="32"/>
        </w:rPr>
      </w:pPr>
      <w:r>
        <w:t xml:space="preserve">Osnovna škola </w:t>
      </w:r>
      <w:proofErr w:type="spellStart"/>
      <w:r>
        <w:t>Kuršanec</w:t>
      </w:r>
      <w:proofErr w:type="spellEnd"/>
      <w:r>
        <w:t xml:space="preserve"> u 2025. godini osigurala je stabilno i kontinuirano izvršavanje financijskog plana unatoč nepovoljnim makroekonomskim uvjetima i rastu troškova poslovanja. Povećani rashodi, ponajprije za zaposlene i materijalne troškove, rezultat su rasta plaća, većeg broja zaposlenika i osiguravanja kvalitetnijih uvjeta rada i učenja. Financijska sredstva korištena su namjenski i racionalno, uz osigurano nesmetano odvijanje odgojno-obrazovnog procesa tijekom cijele godine.</w:t>
      </w:r>
    </w:p>
    <w:p w:rsidR="000F0179" w:rsidRDefault="000F0179">
      <w:pPr>
        <w:spacing w:line="259" w:lineRule="auto"/>
        <w:rPr>
          <w:rFonts w:asciiTheme="majorHAnsi" w:hAnsiTheme="majorHAnsi"/>
          <w:szCs w:val="32"/>
        </w:rPr>
      </w:pPr>
    </w:p>
    <w:p w:rsidR="000F0179" w:rsidRDefault="000F0179">
      <w:pPr>
        <w:spacing w:line="259" w:lineRule="auto"/>
        <w:rPr>
          <w:rFonts w:asciiTheme="majorHAnsi" w:hAnsiTheme="majorHAnsi"/>
          <w:szCs w:val="32"/>
        </w:rPr>
      </w:pPr>
    </w:p>
    <w:p w:rsidR="000F0179" w:rsidRDefault="000F0179">
      <w:pPr>
        <w:spacing w:line="259" w:lineRule="auto"/>
        <w:rPr>
          <w:rFonts w:asciiTheme="majorHAnsi" w:hAnsiTheme="majorHAnsi"/>
          <w:szCs w:val="32"/>
        </w:rPr>
      </w:pPr>
    </w:p>
    <w:p w:rsidR="006B75DE" w:rsidRPr="002C1F65" w:rsidRDefault="006B75DE" w:rsidP="00445529">
      <w:pPr>
        <w:jc w:val="both"/>
        <w:rPr>
          <w:rFonts w:asciiTheme="majorHAnsi" w:hAnsiTheme="majorHAnsi"/>
          <w:szCs w:val="32"/>
        </w:rPr>
      </w:pPr>
    </w:p>
    <w:p w:rsidR="007C2D19" w:rsidRPr="002C1F65" w:rsidRDefault="007C2D19" w:rsidP="00445529">
      <w:pPr>
        <w:jc w:val="both"/>
        <w:rPr>
          <w:rFonts w:asciiTheme="majorHAnsi" w:hAnsiTheme="majorHAnsi"/>
          <w:szCs w:val="32"/>
        </w:rPr>
      </w:pPr>
    </w:p>
    <w:p w:rsidR="004F360B" w:rsidRPr="002C1F65" w:rsidRDefault="00EC3AC4" w:rsidP="00EC3AC4">
      <w:pPr>
        <w:jc w:val="right"/>
        <w:rPr>
          <w:rFonts w:asciiTheme="majorHAnsi" w:hAnsiTheme="majorHAnsi"/>
          <w:szCs w:val="32"/>
        </w:rPr>
      </w:pPr>
      <w:r>
        <w:rPr>
          <w:rFonts w:asciiTheme="majorHAnsi" w:hAnsiTheme="majorHAnsi"/>
          <w:noProof/>
          <w:szCs w:val="32"/>
        </w:rPr>
        <w:drawing>
          <wp:inline distT="0" distB="0" distL="0" distR="0" wp14:anchorId="72E40EB9">
            <wp:extent cx="1737360" cy="74993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360" cy="749935"/>
                    </a:xfrm>
                    <a:prstGeom prst="rect">
                      <a:avLst/>
                    </a:prstGeom>
                    <a:noFill/>
                  </pic:spPr>
                </pic:pic>
              </a:graphicData>
            </a:graphic>
          </wp:inline>
        </w:drawing>
      </w:r>
    </w:p>
    <w:sectPr w:rsidR="004F360B" w:rsidRPr="002C1F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F16" w:rsidRDefault="00CD0F16" w:rsidP="004F360B">
      <w:pPr>
        <w:spacing w:after="0" w:line="240" w:lineRule="auto"/>
      </w:pPr>
      <w:r>
        <w:separator/>
      </w:r>
    </w:p>
  </w:endnote>
  <w:endnote w:type="continuationSeparator" w:id="0">
    <w:p w:rsidR="00CD0F16" w:rsidRDefault="00CD0F16" w:rsidP="004F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F16" w:rsidRDefault="00CD0F16" w:rsidP="004F360B">
      <w:pPr>
        <w:spacing w:after="0" w:line="240" w:lineRule="auto"/>
      </w:pPr>
      <w:r>
        <w:separator/>
      </w:r>
    </w:p>
  </w:footnote>
  <w:footnote w:type="continuationSeparator" w:id="0">
    <w:p w:rsidR="00CD0F16" w:rsidRDefault="00CD0F16" w:rsidP="004F3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1CE8"/>
    <w:multiLevelType w:val="hybridMultilevel"/>
    <w:tmpl w:val="041CE1F2"/>
    <w:lvl w:ilvl="0" w:tplc="6C906F2A">
      <w:start w:val="1"/>
      <w:numFmt w:val="upperLetter"/>
      <w:lvlText w:val="%1."/>
      <w:lvlJc w:val="left"/>
      <w:pPr>
        <w:ind w:left="1080" w:hanging="360"/>
      </w:pPr>
      <w:rPr>
        <w:rFonts w:asciiTheme="minorHAnsi" w:eastAsiaTheme="minorHAnsi" w:hAnsiTheme="minorHAnsi" w:cstheme="minorBidi"/>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2DBE0A62"/>
    <w:multiLevelType w:val="hybridMultilevel"/>
    <w:tmpl w:val="95E02BA2"/>
    <w:lvl w:ilvl="0" w:tplc="15E66F3A">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40AB1E13"/>
    <w:multiLevelType w:val="hybridMultilevel"/>
    <w:tmpl w:val="1B6ECE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B4A651B"/>
    <w:multiLevelType w:val="hybridMultilevel"/>
    <w:tmpl w:val="B7D6FB48"/>
    <w:lvl w:ilvl="0" w:tplc="43B00A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3584944"/>
    <w:multiLevelType w:val="multilevel"/>
    <w:tmpl w:val="EDF0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4678DC"/>
    <w:multiLevelType w:val="hybridMultilevel"/>
    <w:tmpl w:val="77D0C2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F3"/>
    <w:rsid w:val="00045D5B"/>
    <w:rsid w:val="00064DF5"/>
    <w:rsid w:val="000E47E9"/>
    <w:rsid w:val="000F0179"/>
    <w:rsid w:val="0012099A"/>
    <w:rsid w:val="00123117"/>
    <w:rsid w:val="001327B3"/>
    <w:rsid w:val="00190AEF"/>
    <w:rsid w:val="001A280A"/>
    <w:rsid w:val="001B2C7B"/>
    <w:rsid w:val="00232DF3"/>
    <w:rsid w:val="002403B3"/>
    <w:rsid w:val="00253DD8"/>
    <w:rsid w:val="00271887"/>
    <w:rsid w:val="002C16E3"/>
    <w:rsid w:val="002C1F65"/>
    <w:rsid w:val="00312107"/>
    <w:rsid w:val="003152F2"/>
    <w:rsid w:val="00370717"/>
    <w:rsid w:val="003A028A"/>
    <w:rsid w:val="003B4797"/>
    <w:rsid w:val="00445529"/>
    <w:rsid w:val="004B6447"/>
    <w:rsid w:val="004C7100"/>
    <w:rsid w:val="004F360B"/>
    <w:rsid w:val="004F69CD"/>
    <w:rsid w:val="005356E1"/>
    <w:rsid w:val="00565F4E"/>
    <w:rsid w:val="00575135"/>
    <w:rsid w:val="0058474A"/>
    <w:rsid w:val="005B755C"/>
    <w:rsid w:val="005F1A60"/>
    <w:rsid w:val="006B75DE"/>
    <w:rsid w:val="0074594A"/>
    <w:rsid w:val="00755C98"/>
    <w:rsid w:val="007A3EFA"/>
    <w:rsid w:val="007B11EF"/>
    <w:rsid w:val="007C2D19"/>
    <w:rsid w:val="007C4B70"/>
    <w:rsid w:val="007C7ADC"/>
    <w:rsid w:val="00841D0A"/>
    <w:rsid w:val="00842C46"/>
    <w:rsid w:val="00895035"/>
    <w:rsid w:val="008B795F"/>
    <w:rsid w:val="008D380B"/>
    <w:rsid w:val="008D6EBC"/>
    <w:rsid w:val="0098016E"/>
    <w:rsid w:val="009816B4"/>
    <w:rsid w:val="00A06B47"/>
    <w:rsid w:val="00A24066"/>
    <w:rsid w:val="00A45A18"/>
    <w:rsid w:val="00A537F9"/>
    <w:rsid w:val="00A8382C"/>
    <w:rsid w:val="00AE6D26"/>
    <w:rsid w:val="00AE7716"/>
    <w:rsid w:val="00B30E65"/>
    <w:rsid w:val="00B328E2"/>
    <w:rsid w:val="00B82930"/>
    <w:rsid w:val="00BA0420"/>
    <w:rsid w:val="00BB7ED6"/>
    <w:rsid w:val="00BD6002"/>
    <w:rsid w:val="00BF61DD"/>
    <w:rsid w:val="00BF6489"/>
    <w:rsid w:val="00C252AB"/>
    <w:rsid w:val="00C40E50"/>
    <w:rsid w:val="00C42E0C"/>
    <w:rsid w:val="00C61A74"/>
    <w:rsid w:val="00C824C2"/>
    <w:rsid w:val="00C83FE1"/>
    <w:rsid w:val="00C84E75"/>
    <w:rsid w:val="00CB136A"/>
    <w:rsid w:val="00CB70F4"/>
    <w:rsid w:val="00CD0F16"/>
    <w:rsid w:val="00CD332B"/>
    <w:rsid w:val="00CD77EC"/>
    <w:rsid w:val="00D37E38"/>
    <w:rsid w:val="00DD36DA"/>
    <w:rsid w:val="00E332A0"/>
    <w:rsid w:val="00E91B33"/>
    <w:rsid w:val="00EB589B"/>
    <w:rsid w:val="00EC3AC4"/>
    <w:rsid w:val="00EC4180"/>
    <w:rsid w:val="00ED1407"/>
    <w:rsid w:val="00EE5332"/>
    <w:rsid w:val="00EF1E54"/>
    <w:rsid w:val="00F47DFC"/>
    <w:rsid w:val="00FC7132"/>
    <w:rsid w:val="00FE64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83E8"/>
  <w15:chartTrackingRefBased/>
  <w15:docId w15:val="{9D8843B7-786F-46BC-B608-DDA7D8BC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HAnsi"/>
        <w:sz w:val="24"/>
        <w:szCs w:val="24"/>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DF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232DF3"/>
    <w:pPr>
      <w:spacing w:before="100" w:beforeAutospacing="1" w:after="100" w:afterAutospacing="1" w:line="240" w:lineRule="auto"/>
    </w:pPr>
    <w:rPr>
      <w:rFonts w:ascii="Times New Roman" w:eastAsia="Times New Roman" w:hAnsi="Times New Roman" w:cs="Times New Roman"/>
      <w:lang w:eastAsia="hr-HR"/>
    </w:rPr>
  </w:style>
  <w:style w:type="character" w:customStyle="1" w:styleId="normaltextrun">
    <w:name w:val="normaltextrun"/>
    <w:basedOn w:val="Zadanifontodlomka"/>
    <w:rsid w:val="00232DF3"/>
  </w:style>
  <w:style w:type="character" w:customStyle="1" w:styleId="eop">
    <w:name w:val="eop"/>
    <w:basedOn w:val="Zadanifontodlomka"/>
    <w:rsid w:val="00232DF3"/>
  </w:style>
  <w:style w:type="character" w:styleId="Naglaeno">
    <w:name w:val="Strong"/>
    <w:basedOn w:val="Zadanifontodlomka"/>
    <w:uiPriority w:val="22"/>
    <w:qFormat/>
    <w:rsid w:val="00232DF3"/>
    <w:rPr>
      <w:b/>
      <w:bCs/>
    </w:rPr>
  </w:style>
  <w:style w:type="paragraph" w:styleId="Odlomakpopisa">
    <w:name w:val="List Paragraph"/>
    <w:basedOn w:val="Normal"/>
    <w:uiPriority w:val="34"/>
    <w:qFormat/>
    <w:rsid w:val="00123117"/>
    <w:pPr>
      <w:ind w:left="720"/>
      <w:contextualSpacing/>
    </w:pPr>
  </w:style>
  <w:style w:type="paragraph" w:styleId="Zaglavlje">
    <w:name w:val="header"/>
    <w:basedOn w:val="Normal"/>
    <w:link w:val="ZaglavljeChar"/>
    <w:uiPriority w:val="99"/>
    <w:unhideWhenUsed/>
    <w:rsid w:val="004F360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F360B"/>
  </w:style>
  <w:style w:type="paragraph" w:styleId="Podnoje">
    <w:name w:val="footer"/>
    <w:basedOn w:val="Normal"/>
    <w:link w:val="PodnojeChar"/>
    <w:uiPriority w:val="99"/>
    <w:unhideWhenUsed/>
    <w:rsid w:val="004F36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F360B"/>
  </w:style>
  <w:style w:type="paragraph" w:styleId="StandardWeb">
    <w:name w:val="Normal (Web)"/>
    <w:basedOn w:val="Normal"/>
    <w:uiPriority w:val="99"/>
    <w:semiHidden/>
    <w:unhideWhenUsed/>
    <w:rsid w:val="00253DD8"/>
    <w:pPr>
      <w:spacing w:before="100" w:beforeAutospacing="1" w:after="100" w:afterAutospacing="1" w:line="240" w:lineRule="auto"/>
    </w:pPr>
    <w:rPr>
      <w:rFonts w:ascii="Times New Roman" w:eastAsia="Times New Roman" w:hAnsi="Times New Roman" w:cs="Times New Roman"/>
      <w:lang w:eastAsia="hr-HR"/>
    </w:rPr>
  </w:style>
  <w:style w:type="paragraph" w:styleId="Tekstbalonia">
    <w:name w:val="Balloon Text"/>
    <w:basedOn w:val="Normal"/>
    <w:link w:val="TekstbaloniaChar"/>
    <w:uiPriority w:val="99"/>
    <w:semiHidden/>
    <w:unhideWhenUsed/>
    <w:rsid w:val="00BD600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D6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2469">
      <w:bodyDiv w:val="1"/>
      <w:marLeft w:val="0"/>
      <w:marRight w:val="0"/>
      <w:marTop w:val="0"/>
      <w:marBottom w:val="0"/>
      <w:divBdr>
        <w:top w:val="none" w:sz="0" w:space="0" w:color="auto"/>
        <w:left w:val="none" w:sz="0" w:space="0" w:color="auto"/>
        <w:bottom w:val="none" w:sz="0" w:space="0" w:color="auto"/>
        <w:right w:val="none" w:sz="0" w:space="0" w:color="auto"/>
      </w:divBdr>
    </w:div>
    <w:div w:id="368578265">
      <w:bodyDiv w:val="1"/>
      <w:marLeft w:val="0"/>
      <w:marRight w:val="0"/>
      <w:marTop w:val="0"/>
      <w:marBottom w:val="0"/>
      <w:divBdr>
        <w:top w:val="none" w:sz="0" w:space="0" w:color="auto"/>
        <w:left w:val="none" w:sz="0" w:space="0" w:color="auto"/>
        <w:bottom w:val="none" w:sz="0" w:space="0" w:color="auto"/>
        <w:right w:val="none" w:sz="0" w:space="0" w:color="auto"/>
      </w:divBdr>
    </w:div>
    <w:div w:id="526219073">
      <w:bodyDiv w:val="1"/>
      <w:marLeft w:val="0"/>
      <w:marRight w:val="0"/>
      <w:marTop w:val="0"/>
      <w:marBottom w:val="0"/>
      <w:divBdr>
        <w:top w:val="none" w:sz="0" w:space="0" w:color="auto"/>
        <w:left w:val="none" w:sz="0" w:space="0" w:color="auto"/>
        <w:bottom w:val="none" w:sz="0" w:space="0" w:color="auto"/>
        <w:right w:val="none" w:sz="0" w:space="0" w:color="auto"/>
      </w:divBdr>
    </w:div>
    <w:div w:id="646714804">
      <w:bodyDiv w:val="1"/>
      <w:marLeft w:val="0"/>
      <w:marRight w:val="0"/>
      <w:marTop w:val="0"/>
      <w:marBottom w:val="0"/>
      <w:divBdr>
        <w:top w:val="none" w:sz="0" w:space="0" w:color="auto"/>
        <w:left w:val="none" w:sz="0" w:space="0" w:color="auto"/>
        <w:bottom w:val="none" w:sz="0" w:space="0" w:color="auto"/>
        <w:right w:val="none" w:sz="0" w:space="0" w:color="auto"/>
      </w:divBdr>
    </w:div>
    <w:div w:id="713232609">
      <w:bodyDiv w:val="1"/>
      <w:marLeft w:val="0"/>
      <w:marRight w:val="0"/>
      <w:marTop w:val="0"/>
      <w:marBottom w:val="0"/>
      <w:divBdr>
        <w:top w:val="none" w:sz="0" w:space="0" w:color="auto"/>
        <w:left w:val="none" w:sz="0" w:space="0" w:color="auto"/>
        <w:bottom w:val="none" w:sz="0" w:space="0" w:color="auto"/>
        <w:right w:val="none" w:sz="0" w:space="0" w:color="auto"/>
      </w:divBdr>
    </w:div>
    <w:div w:id="756173292">
      <w:bodyDiv w:val="1"/>
      <w:marLeft w:val="0"/>
      <w:marRight w:val="0"/>
      <w:marTop w:val="0"/>
      <w:marBottom w:val="0"/>
      <w:divBdr>
        <w:top w:val="none" w:sz="0" w:space="0" w:color="auto"/>
        <w:left w:val="none" w:sz="0" w:space="0" w:color="auto"/>
        <w:bottom w:val="none" w:sz="0" w:space="0" w:color="auto"/>
        <w:right w:val="none" w:sz="0" w:space="0" w:color="auto"/>
      </w:divBdr>
    </w:div>
    <w:div w:id="813181040">
      <w:bodyDiv w:val="1"/>
      <w:marLeft w:val="0"/>
      <w:marRight w:val="0"/>
      <w:marTop w:val="0"/>
      <w:marBottom w:val="0"/>
      <w:divBdr>
        <w:top w:val="none" w:sz="0" w:space="0" w:color="auto"/>
        <w:left w:val="none" w:sz="0" w:space="0" w:color="auto"/>
        <w:bottom w:val="none" w:sz="0" w:space="0" w:color="auto"/>
        <w:right w:val="none" w:sz="0" w:space="0" w:color="auto"/>
      </w:divBdr>
    </w:div>
    <w:div w:id="832986936">
      <w:bodyDiv w:val="1"/>
      <w:marLeft w:val="0"/>
      <w:marRight w:val="0"/>
      <w:marTop w:val="0"/>
      <w:marBottom w:val="0"/>
      <w:divBdr>
        <w:top w:val="none" w:sz="0" w:space="0" w:color="auto"/>
        <w:left w:val="none" w:sz="0" w:space="0" w:color="auto"/>
        <w:bottom w:val="none" w:sz="0" w:space="0" w:color="auto"/>
        <w:right w:val="none" w:sz="0" w:space="0" w:color="auto"/>
      </w:divBdr>
    </w:div>
    <w:div w:id="850335002">
      <w:bodyDiv w:val="1"/>
      <w:marLeft w:val="0"/>
      <w:marRight w:val="0"/>
      <w:marTop w:val="0"/>
      <w:marBottom w:val="0"/>
      <w:divBdr>
        <w:top w:val="none" w:sz="0" w:space="0" w:color="auto"/>
        <w:left w:val="none" w:sz="0" w:space="0" w:color="auto"/>
        <w:bottom w:val="none" w:sz="0" w:space="0" w:color="auto"/>
        <w:right w:val="none" w:sz="0" w:space="0" w:color="auto"/>
      </w:divBdr>
    </w:div>
    <w:div w:id="873733134">
      <w:bodyDiv w:val="1"/>
      <w:marLeft w:val="0"/>
      <w:marRight w:val="0"/>
      <w:marTop w:val="0"/>
      <w:marBottom w:val="0"/>
      <w:divBdr>
        <w:top w:val="none" w:sz="0" w:space="0" w:color="auto"/>
        <w:left w:val="none" w:sz="0" w:space="0" w:color="auto"/>
        <w:bottom w:val="none" w:sz="0" w:space="0" w:color="auto"/>
        <w:right w:val="none" w:sz="0" w:space="0" w:color="auto"/>
      </w:divBdr>
    </w:div>
    <w:div w:id="891112903">
      <w:bodyDiv w:val="1"/>
      <w:marLeft w:val="0"/>
      <w:marRight w:val="0"/>
      <w:marTop w:val="0"/>
      <w:marBottom w:val="0"/>
      <w:divBdr>
        <w:top w:val="none" w:sz="0" w:space="0" w:color="auto"/>
        <w:left w:val="none" w:sz="0" w:space="0" w:color="auto"/>
        <w:bottom w:val="none" w:sz="0" w:space="0" w:color="auto"/>
        <w:right w:val="none" w:sz="0" w:space="0" w:color="auto"/>
      </w:divBdr>
    </w:div>
    <w:div w:id="1160195574">
      <w:bodyDiv w:val="1"/>
      <w:marLeft w:val="0"/>
      <w:marRight w:val="0"/>
      <w:marTop w:val="0"/>
      <w:marBottom w:val="0"/>
      <w:divBdr>
        <w:top w:val="none" w:sz="0" w:space="0" w:color="auto"/>
        <w:left w:val="none" w:sz="0" w:space="0" w:color="auto"/>
        <w:bottom w:val="none" w:sz="0" w:space="0" w:color="auto"/>
        <w:right w:val="none" w:sz="0" w:space="0" w:color="auto"/>
      </w:divBdr>
    </w:div>
    <w:div w:id="1526747909">
      <w:bodyDiv w:val="1"/>
      <w:marLeft w:val="0"/>
      <w:marRight w:val="0"/>
      <w:marTop w:val="0"/>
      <w:marBottom w:val="0"/>
      <w:divBdr>
        <w:top w:val="none" w:sz="0" w:space="0" w:color="auto"/>
        <w:left w:val="none" w:sz="0" w:space="0" w:color="auto"/>
        <w:bottom w:val="none" w:sz="0" w:space="0" w:color="auto"/>
        <w:right w:val="none" w:sz="0" w:space="0" w:color="auto"/>
      </w:divBdr>
    </w:div>
    <w:div w:id="1634484137">
      <w:bodyDiv w:val="1"/>
      <w:marLeft w:val="0"/>
      <w:marRight w:val="0"/>
      <w:marTop w:val="0"/>
      <w:marBottom w:val="0"/>
      <w:divBdr>
        <w:top w:val="none" w:sz="0" w:space="0" w:color="auto"/>
        <w:left w:val="none" w:sz="0" w:space="0" w:color="auto"/>
        <w:bottom w:val="none" w:sz="0" w:space="0" w:color="auto"/>
        <w:right w:val="none" w:sz="0" w:space="0" w:color="auto"/>
      </w:divBdr>
    </w:div>
    <w:div w:id="1770732633">
      <w:bodyDiv w:val="1"/>
      <w:marLeft w:val="0"/>
      <w:marRight w:val="0"/>
      <w:marTop w:val="0"/>
      <w:marBottom w:val="0"/>
      <w:divBdr>
        <w:top w:val="none" w:sz="0" w:space="0" w:color="auto"/>
        <w:left w:val="none" w:sz="0" w:space="0" w:color="auto"/>
        <w:bottom w:val="none" w:sz="0" w:space="0" w:color="auto"/>
        <w:right w:val="none" w:sz="0" w:space="0" w:color="auto"/>
      </w:divBdr>
    </w:div>
    <w:div w:id="1944847771">
      <w:bodyDiv w:val="1"/>
      <w:marLeft w:val="0"/>
      <w:marRight w:val="0"/>
      <w:marTop w:val="0"/>
      <w:marBottom w:val="0"/>
      <w:divBdr>
        <w:top w:val="none" w:sz="0" w:space="0" w:color="auto"/>
        <w:left w:val="none" w:sz="0" w:space="0" w:color="auto"/>
        <w:bottom w:val="none" w:sz="0" w:space="0" w:color="auto"/>
        <w:right w:val="none" w:sz="0" w:space="0" w:color="auto"/>
      </w:divBdr>
    </w:div>
    <w:div w:id="2042124606">
      <w:bodyDiv w:val="1"/>
      <w:marLeft w:val="0"/>
      <w:marRight w:val="0"/>
      <w:marTop w:val="0"/>
      <w:marBottom w:val="0"/>
      <w:divBdr>
        <w:top w:val="none" w:sz="0" w:space="0" w:color="auto"/>
        <w:left w:val="none" w:sz="0" w:space="0" w:color="auto"/>
        <w:bottom w:val="none" w:sz="0" w:space="0" w:color="auto"/>
        <w:right w:val="none" w:sz="0" w:space="0" w:color="auto"/>
      </w:divBdr>
    </w:div>
    <w:div w:id="207685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1</Pages>
  <Words>2031</Words>
  <Characters>11577</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Fučec</dc:creator>
  <cp:keywords/>
  <dc:description/>
  <cp:lastModifiedBy>Elena Fučec</cp:lastModifiedBy>
  <cp:revision>27</cp:revision>
  <cp:lastPrinted>2026-02-23T07:34:00Z</cp:lastPrinted>
  <dcterms:created xsi:type="dcterms:W3CDTF">2024-02-20T08:23:00Z</dcterms:created>
  <dcterms:modified xsi:type="dcterms:W3CDTF">2026-02-23T08:27:00Z</dcterms:modified>
</cp:coreProperties>
</file>